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BC2DBD" w:rsidP="00BC2DBD">
      <w:pPr>
        <w:pStyle w:val="Default"/>
        <w:jc w:val="center"/>
        <w:rPr>
          <w:rFonts w:ascii="宋体" w:eastAsia="宋体" w:hAnsi="宋体" w:cs="宋体" w:hint="default"/>
          <w:sz w:val="28"/>
          <w:szCs w:val="28"/>
          <w:lang w:val="en-US"/>
        </w:rPr>
      </w:pPr>
      <w:hyperlink r:id="rId8" w:history="1">
        <w:r w:rsidRPr="0028658D">
          <w:rPr>
            <w:rStyle w:val="a5"/>
            <w:rFonts w:ascii="宋体" w:eastAsia="宋体" w:hAnsi="宋体" w:cs="宋体"/>
            <w:sz w:val="28"/>
            <w:szCs w:val="28"/>
            <w:lang w:val="en-US"/>
          </w:rPr>
          <w:t>jisd09042333</w:t>
        </w:r>
        <w:r w:rsidRPr="0028658D">
          <w:rPr>
            <w:rStyle w:val="a5"/>
            <w:rFonts w:ascii="宋体" w:eastAsia="宋体" w:hAnsi="宋体" w:cs="宋体" w:hint="default"/>
            <w:sz w:val="28"/>
            <w:szCs w:val="28"/>
            <w:lang w:val="en-US"/>
          </w:rPr>
          <w:t>@</w:t>
        </w:r>
        <w:r w:rsidRPr="0028658D">
          <w:rPr>
            <w:rStyle w:val="a5"/>
            <w:rFonts w:ascii="宋体" w:eastAsia="宋体" w:hAnsi="宋体" w:cs="宋体"/>
            <w:sz w:val="28"/>
            <w:szCs w:val="28"/>
            <w:lang w:val="en-US"/>
          </w:rPr>
          <w:t>126</w:t>
        </w:r>
        <w:r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rFonts w:hint="eastAsia"/>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资产合法合</w:t>
      </w:r>
      <w:proofErr w:type="gramStart"/>
      <w:r>
        <w:rPr>
          <w:rFonts w:ascii="Arial" w:eastAsia="宋体" w:hAnsi="Arial" w:cs="Arial" w:hint="eastAsia"/>
          <w:bdr w:val="none" w:sz="0" w:space="0" w:color="auto"/>
          <w:lang w:eastAsia="zh-CN"/>
        </w:rPr>
        <w:t>规</w:t>
      </w:r>
      <w:proofErr w:type="gramEnd"/>
      <w:r>
        <w:rPr>
          <w:rFonts w:ascii="Arial" w:eastAsia="宋体" w:hAnsi="Arial" w:cs="Arial" w:hint="eastAsia"/>
          <w:bdr w:val="none" w:sz="0" w:space="0" w:color="auto"/>
          <w:lang w:eastAsia="zh-CN"/>
        </w:rPr>
        <w:t>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hint="eastAsia"/>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资产流通网络中，所有合约节点</w:t>
      </w:r>
      <w:r>
        <w:rPr>
          <w:rFonts w:ascii="Arial" w:eastAsia="宋体" w:hAnsi="Arial" w:cs="Arial" w:hint="eastAsia"/>
          <w:bdr w:val="none" w:sz="0" w:space="0" w:color="auto"/>
          <w:lang w:eastAsia="zh-CN"/>
        </w:rPr>
        <w:t>，资产提供方、资产接收方或者资产居间方只部署同一个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w:t>
      </w:r>
      <w:proofErr w:type="gramStart"/>
      <w:r w:rsidR="003468EB">
        <w:rPr>
          <w:rFonts w:ascii="Arial" w:eastAsia="宋体" w:hAnsi="Arial" w:cs="Arial" w:hint="eastAsia"/>
          <w:bdr w:val="none" w:sz="0" w:space="0" w:color="auto"/>
          <w:lang w:eastAsia="zh-CN"/>
        </w:rPr>
        <w:t>层支持</w:t>
      </w:r>
      <w:proofErr w:type="gramEnd"/>
      <w:r w:rsidR="003468EB">
        <w:rPr>
          <w:rFonts w:ascii="Arial" w:eastAsia="宋体" w:hAnsi="Arial" w:cs="Arial" w:hint="eastAsia"/>
          <w:bdr w:val="none" w:sz="0" w:space="0" w:color="auto"/>
          <w:lang w:eastAsia="zh-CN"/>
        </w:rPr>
        <w:t>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w:t>
      </w:r>
      <w:r w:rsidR="004E7378">
        <w:rPr>
          <w:rFonts w:ascii="Arial" w:eastAsia="宋体" w:hAnsi="Arial" w:cs="Arial" w:hint="eastAsia"/>
          <w:bdr w:val="none" w:sz="0" w:space="0" w:color="auto"/>
          <w:lang w:eastAsia="zh-CN"/>
        </w:rPr>
        <w:t>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w:t>
      </w:r>
      <w:r w:rsidR="005C532F">
        <w:rPr>
          <w:rFonts w:ascii="Arial" w:eastAsia="宋体" w:hAnsi="Arial" w:cs="Arial" w:hint="eastAsia"/>
          <w:bdr w:val="none" w:sz="0" w:space="0" w:color="auto"/>
          <w:lang w:eastAsia="zh-CN"/>
        </w:rPr>
        <w:t>业务规则</w:t>
      </w:r>
      <w:r w:rsidR="005C532F">
        <w:rPr>
          <w:rFonts w:ascii="Arial" w:eastAsia="宋体" w:hAnsi="Arial" w:cs="Arial" w:hint="eastAsia"/>
          <w:bdr w:val="none" w:sz="0" w:space="0" w:color="auto"/>
          <w:lang w:eastAsia="zh-CN"/>
        </w:rPr>
        <w:t>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w:t>
      </w:r>
      <w:proofErr w:type="gramStart"/>
      <w:r w:rsidR="005C532F">
        <w:rPr>
          <w:rFonts w:ascii="Arial" w:eastAsia="宋体" w:hAnsi="Arial" w:cs="Arial" w:hint="eastAsia"/>
          <w:bdr w:val="none" w:sz="0" w:space="0" w:color="auto"/>
          <w:lang w:eastAsia="zh-CN"/>
        </w:rPr>
        <w:t>不</w:t>
      </w:r>
      <w:proofErr w:type="gramEnd"/>
      <w:r w:rsidR="005C532F">
        <w:rPr>
          <w:rFonts w:ascii="Arial" w:eastAsia="宋体" w:hAnsi="Arial" w:cs="Arial" w:hint="eastAsia"/>
          <w:bdr w:val="none" w:sz="0" w:space="0" w:color="auto"/>
          <w:lang w:eastAsia="zh-CN"/>
        </w:rPr>
        <w:t>停机情况下扩展部署业务规则库。</w:t>
      </w:r>
    </w:p>
    <w:p w:rsidR="005C532F" w:rsidRDefault="001B0459"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Csv</w:t>
      </w:r>
      <w:proofErr w:type="spellEnd"/>
      <w:r w:rsidR="00586459">
        <w:rPr>
          <w:rFonts w:ascii="Arial" w:eastAsia="宋体" w:hAnsi="Arial" w:cs="Arial" w:hint="eastAsia"/>
          <w:bdr w:val="none" w:sz="0" w:space="0" w:color="auto"/>
          <w:lang w:eastAsia="zh-CN"/>
        </w:rPr>
        <w:t>等文件格式输出，或者输出至</w:t>
      </w:r>
      <w:proofErr w:type="spellStart"/>
      <w:r w:rsidR="00586459">
        <w:rPr>
          <w:rFonts w:ascii="Arial" w:eastAsia="宋体" w:hAnsi="Arial" w:cs="Arial" w:hint="eastAsia"/>
          <w:bdr w:val="none" w:sz="0" w:space="0" w:color="auto"/>
          <w:lang w:eastAsia="zh-CN"/>
        </w:rPr>
        <w:t>MySql</w:t>
      </w:r>
      <w:proofErr w:type="spellEnd"/>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MongoDB</w:t>
      </w:r>
      <w:proofErr w:type="spellEnd"/>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w:t>
      </w:r>
      <w:r w:rsidR="003D7429">
        <w:rPr>
          <w:rFonts w:ascii="Arial" w:eastAsia="宋体" w:hAnsi="Arial" w:cs="Arial" w:hint="eastAsia"/>
          <w:bdr w:val="none" w:sz="0" w:space="0" w:color="auto"/>
          <w:lang w:eastAsia="zh-CN"/>
        </w:rPr>
        <w:t>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w:t>
      </w:r>
      <w:r w:rsidR="003D7429">
        <w:rPr>
          <w:rFonts w:ascii="Arial" w:eastAsia="宋体" w:hAnsi="Arial" w:cs="Arial" w:hint="eastAsia"/>
          <w:bdr w:val="none" w:sz="0" w:space="0" w:color="auto"/>
          <w:lang w:eastAsia="zh-CN"/>
        </w:rPr>
        <w:t>服务可对接账务系统，实现资产流通精准记账。也可以</w:t>
      </w:r>
      <w:proofErr w:type="gramStart"/>
      <w:r w:rsidR="003D7429">
        <w:rPr>
          <w:rFonts w:ascii="Arial" w:eastAsia="宋体" w:hAnsi="Arial" w:cs="Arial" w:hint="eastAsia"/>
          <w:bdr w:val="none" w:sz="0" w:space="0" w:color="auto"/>
          <w:lang w:eastAsia="zh-CN"/>
        </w:rPr>
        <w:t>对接区</w:t>
      </w:r>
      <w:proofErr w:type="gramEnd"/>
      <w:r w:rsidR="003D7429">
        <w:rPr>
          <w:rFonts w:ascii="Arial" w:eastAsia="宋体" w:hAnsi="Arial" w:cs="Arial" w:hint="eastAsia"/>
          <w:bdr w:val="none" w:sz="0" w:space="0" w:color="auto"/>
          <w:lang w:eastAsia="zh-CN"/>
        </w:rPr>
        <w:t>块链系统，实现资产流通去中性化。</w:t>
      </w:r>
    </w:p>
    <w:p w:rsidR="000275C2" w:rsidRDefault="000275C2"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Pr>
          <w:rFonts w:ascii="Arial" w:eastAsia="宋体" w:hAnsi="Arial" w:cs="Arial" w:hint="eastAsia"/>
          <w:bdr w:val="none" w:sz="0" w:space="0" w:color="auto"/>
          <w:lang w:eastAsia="zh-CN"/>
        </w:rPr>
        <w:t>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hint="eastAsia"/>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hint="eastAsia"/>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w:t>
      </w:r>
      <w:r w:rsidR="00B16A4E">
        <w:rPr>
          <w:rFonts w:ascii="Arial" w:eastAsia="宋体" w:hAnsi="Arial" w:cs="Arial" w:hint="eastAsia"/>
          <w:bdr w:val="none" w:sz="0" w:space="0" w:color="auto"/>
          <w:lang w:eastAsia="zh-CN"/>
        </w:rPr>
        <w:t>主节点</w:t>
      </w:r>
      <w:r w:rsidR="00B16A4E">
        <w:rPr>
          <w:rFonts w:ascii="Arial" w:eastAsia="宋体" w:hAnsi="Arial" w:cs="Arial" w:hint="eastAsia"/>
          <w:bdr w:val="none" w:sz="0" w:space="0" w:color="auto"/>
          <w:lang w:eastAsia="zh-CN"/>
        </w:rPr>
        <w:t>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数据流产品实例中包含一个业务规则树实例和规则树下任意多个规则实例。资产节点根据合约中规定，定制化开发</w:t>
      </w:r>
      <w:r w:rsidR="00EC7FB7">
        <w:rPr>
          <w:rFonts w:ascii="Arial" w:eastAsia="宋体" w:hAnsi="Arial" w:cs="Arial" w:hint="eastAsia"/>
          <w:bdr w:val="none" w:sz="0" w:space="0" w:color="auto"/>
          <w:lang w:eastAsia="zh-CN"/>
        </w:rPr>
        <w:t>数据流产品</w:t>
      </w:r>
      <w:r w:rsidR="00EC7FB7">
        <w:rPr>
          <w:rFonts w:ascii="Arial" w:eastAsia="宋体" w:hAnsi="Arial" w:cs="Arial" w:hint="eastAsia"/>
          <w:bdr w:val="none" w:sz="0" w:space="0" w:color="auto"/>
          <w:lang w:eastAsia="zh-CN"/>
        </w:rPr>
        <w:t>以及产品下</w:t>
      </w:r>
      <w:r w:rsidR="00FA0276">
        <w:rPr>
          <w:rFonts w:ascii="Arial" w:eastAsia="宋体" w:hAnsi="Arial" w:cs="Arial" w:hint="eastAsia"/>
          <w:bdr w:val="none" w:sz="0" w:space="0" w:color="auto"/>
          <w:lang w:eastAsia="zh-CN"/>
        </w:rPr>
        <w:t>履行</w:t>
      </w:r>
      <w:r w:rsidR="00FA0276">
        <w:rPr>
          <w:rFonts w:ascii="Arial" w:eastAsia="宋体" w:hAnsi="Arial" w:cs="Arial" w:hint="eastAsia"/>
          <w:bdr w:val="none" w:sz="0" w:space="0" w:color="auto"/>
          <w:lang w:eastAsia="zh-CN"/>
        </w:rPr>
        <w:t>相应权利义务</w:t>
      </w:r>
      <w:r w:rsidR="00FA0276">
        <w:rPr>
          <w:rFonts w:ascii="Arial" w:eastAsia="宋体" w:hAnsi="Arial" w:cs="Arial" w:hint="eastAsia"/>
          <w:bdr w:val="none" w:sz="0" w:space="0" w:color="auto"/>
          <w:lang w:eastAsia="zh-CN"/>
        </w:rPr>
        <w:t>的</w:t>
      </w:r>
      <w:r w:rsidR="00EC7FB7">
        <w:rPr>
          <w:rFonts w:ascii="Arial" w:eastAsia="宋体" w:hAnsi="Arial" w:cs="Arial" w:hint="eastAsia"/>
          <w:bdr w:val="none" w:sz="0" w:space="0" w:color="auto"/>
          <w:lang w:eastAsia="zh-CN"/>
        </w:rPr>
        <w:t>规则方法</w:t>
      </w:r>
      <w:bookmarkStart w:id="0" w:name="_GoBack"/>
      <w:bookmarkEnd w:id="0"/>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w:t>
      </w:r>
      <w:r>
        <w:rPr>
          <w:rFonts w:ascii="Arial" w:eastAsia="宋体" w:hAnsi="Arial" w:cs="Arial" w:hint="eastAsia"/>
          <w:bdr w:val="none" w:sz="0" w:space="0" w:color="auto"/>
          <w:lang w:eastAsia="zh-CN"/>
        </w:rPr>
        <w:t>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p>
    <w:p w:rsidR="00E04F02" w:rsidRPr="0010587B" w:rsidRDefault="00E04F02" w:rsidP="0010587B">
      <w:pPr>
        <w:pStyle w:val="a6"/>
        <w:numPr>
          <w:ilvl w:val="0"/>
          <w:numId w:val="2"/>
        </w:numPr>
        <w:ind w:firstLineChars="0"/>
        <w:rPr>
          <w:rFonts w:ascii="Arial" w:eastAsia="宋体" w:hAnsi="Arial" w:cs="Arial" w:hint="eastAsia"/>
          <w:bdr w:val="none" w:sz="0" w:space="0" w:color="auto"/>
          <w:lang w:eastAsia="zh-CN"/>
        </w:rPr>
      </w:pPr>
    </w:p>
    <w:p w:rsidR="008C1990" w:rsidRPr="00DE0751" w:rsidRDefault="008C1990" w:rsidP="005F6183">
      <w:pPr>
        <w:ind w:firstLine="420"/>
        <w:rPr>
          <w:rFonts w:ascii="Arial" w:eastAsia="宋体" w:hAnsi="Arial" w:cs="Arial"/>
          <w:bdr w:val="none" w:sz="0" w:space="0" w:color="auto"/>
          <w:lang w:eastAsia="zh-CN"/>
        </w:rPr>
      </w:pPr>
    </w:p>
    <w:sectPr w:rsidR="008C1990" w:rsidRPr="00DE0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32D" w:rsidRDefault="0066332D" w:rsidP="00BC2DBD">
      <w:r>
        <w:separator/>
      </w:r>
    </w:p>
  </w:endnote>
  <w:endnote w:type="continuationSeparator" w:id="0">
    <w:p w:rsidR="0066332D" w:rsidRDefault="0066332D"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32D" w:rsidRDefault="0066332D" w:rsidP="00BC2DBD">
      <w:r>
        <w:separator/>
      </w:r>
    </w:p>
  </w:footnote>
  <w:footnote w:type="continuationSeparator" w:id="0">
    <w:p w:rsidR="0066332D" w:rsidRDefault="0066332D"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117BD"/>
    <w:rsid w:val="0002586B"/>
    <w:rsid w:val="000275C2"/>
    <w:rsid w:val="0008133A"/>
    <w:rsid w:val="00093D21"/>
    <w:rsid w:val="001054CF"/>
    <w:rsid w:val="0010587B"/>
    <w:rsid w:val="001B0459"/>
    <w:rsid w:val="00206D5A"/>
    <w:rsid w:val="002B28B5"/>
    <w:rsid w:val="002D66C1"/>
    <w:rsid w:val="003468EB"/>
    <w:rsid w:val="003D7429"/>
    <w:rsid w:val="00444819"/>
    <w:rsid w:val="00490059"/>
    <w:rsid w:val="00495624"/>
    <w:rsid w:val="004E7378"/>
    <w:rsid w:val="00501AA3"/>
    <w:rsid w:val="00531619"/>
    <w:rsid w:val="00586459"/>
    <w:rsid w:val="005C532F"/>
    <w:rsid w:val="005D6A1C"/>
    <w:rsid w:val="005F6183"/>
    <w:rsid w:val="0066332D"/>
    <w:rsid w:val="00664D1B"/>
    <w:rsid w:val="00776A88"/>
    <w:rsid w:val="007B613D"/>
    <w:rsid w:val="008A5B41"/>
    <w:rsid w:val="008C1990"/>
    <w:rsid w:val="00935A5B"/>
    <w:rsid w:val="00970ED0"/>
    <w:rsid w:val="009B24AC"/>
    <w:rsid w:val="00A57937"/>
    <w:rsid w:val="00A644A7"/>
    <w:rsid w:val="00A67965"/>
    <w:rsid w:val="00AC5223"/>
    <w:rsid w:val="00AF5CDD"/>
    <w:rsid w:val="00B16A4E"/>
    <w:rsid w:val="00B54304"/>
    <w:rsid w:val="00B81D64"/>
    <w:rsid w:val="00B929E3"/>
    <w:rsid w:val="00BC2DBD"/>
    <w:rsid w:val="00C92F12"/>
    <w:rsid w:val="00CB4AE0"/>
    <w:rsid w:val="00D43CF1"/>
    <w:rsid w:val="00D54C58"/>
    <w:rsid w:val="00D6109F"/>
    <w:rsid w:val="00D82243"/>
    <w:rsid w:val="00DE0751"/>
    <w:rsid w:val="00E04F02"/>
    <w:rsid w:val="00E42E20"/>
    <w:rsid w:val="00E4347B"/>
    <w:rsid w:val="00EC7FB7"/>
    <w:rsid w:val="00F5715A"/>
    <w:rsid w:val="00F80576"/>
    <w:rsid w:val="00FA0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jc w:val="center"/>
    </w:pPr>
    <w:rPr>
      <w:rFonts w:asciiTheme="minorHAnsi" w:eastAsiaTheme="minorEastAsia" w:hAnsiTheme="minorHAnsi" w:cstheme="minorBidi"/>
      <w:kern w:val="2"/>
      <w:sz w:val="18"/>
      <w:szCs w:val="18"/>
      <w:bdr w:val="none" w:sz="0" w:space="0" w:color="auto"/>
      <w:lang w:eastAsia="zh-CN"/>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pPr>
    <w:rPr>
      <w:rFonts w:asciiTheme="minorHAnsi" w:eastAsiaTheme="minorEastAsia" w:hAnsiTheme="minorHAnsi" w:cstheme="minorBidi"/>
      <w:kern w:val="2"/>
      <w:sz w:val="18"/>
      <w:szCs w:val="18"/>
      <w:bdr w:val="none" w:sz="0" w:space="0" w:color="auto"/>
      <w:lang w:eastAsia="zh-CN"/>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jc w:val="center"/>
    </w:pPr>
    <w:rPr>
      <w:rFonts w:asciiTheme="minorHAnsi" w:eastAsiaTheme="minorEastAsia" w:hAnsiTheme="minorHAnsi" w:cstheme="minorBidi"/>
      <w:kern w:val="2"/>
      <w:sz w:val="18"/>
      <w:szCs w:val="18"/>
      <w:bdr w:val="none" w:sz="0" w:space="0" w:color="auto"/>
      <w:lang w:eastAsia="zh-CN"/>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pPr>
    <w:rPr>
      <w:rFonts w:asciiTheme="minorHAnsi" w:eastAsiaTheme="minorEastAsia" w:hAnsiTheme="minorHAnsi" w:cstheme="minorBidi"/>
      <w:kern w:val="2"/>
      <w:sz w:val="18"/>
      <w:szCs w:val="18"/>
      <w:bdr w:val="none" w:sz="0" w:space="0" w:color="auto"/>
      <w:lang w:eastAsia="zh-CN"/>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305</Words>
  <Characters>1740</Characters>
  <Application>Microsoft Office Word</Application>
  <DocSecurity>0</DocSecurity>
  <Lines>14</Lines>
  <Paragraphs>4</Paragraphs>
  <ScaleCrop>false</ScaleCrop>
  <Company>Lenovo</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105</cp:revision>
  <dcterms:created xsi:type="dcterms:W3CDTF">2018-01-03T06:51:00Z</dcterms:created>
  <dcterms:modified xsi:type="dcterms:W3CDTF">2018-01-03T11:04:00Z</dcterms:modified>
</cp:coreProperties>
</file>