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2"/>
          <w:szCs w:val="32"/>
        </w:rPr>
        <w:t xml:space="preserve">Rules Engine — Detailed Reference</w:t>
      </w:r>
    </w:p>
    <w:p>
      <w:pPr>
        <w:spacing w:after="120"/>
      </w:pPr>
      <w:r>
        <w:rPr>
          <w:rFonts w:ascii="Arial" w:cs="Arial" w:eastAsia="Arial" w:hAnsi="Arial"/>
          <w:i/>
          <w:iCs/>
          <w:sz w:val="21"/>
          <w:szCs w:val="21"/>
        </w:rPr>
        <w:t xml:space="preserve">Full methodology behind the NIFTY/SENSEX premarket signals: how each input is read, how bias and strategy are derived, and how targets and stop-losses are calculated. For the condensed version, see the Quick Reference.</w:t>
      </w:r>
    </w:p>
    <w:p>
      <w:pPr>
        <w:spacing w:after="200"/>
      </w:pPr>
    </w:p>
    <w:p>
      <w:pPr>
        <w:pStyle w:val="Heading2"/>
        <w:spacing w:after="150" w:before="300"/>
      </w:pPr>
      <w:r>
        <w:t xml:space="preserve">1. Gap %</w:t>
      </w:r>
    </w:p>
    <w:p>
      <w:pPr>
        <w:spacing w:after="120"/>
      </w:pPr>
      <w:r>
        <w:rPr>
          <w:rFonts w:ascii="Arial" w:cs="Arial" w:eastAsia="Arial" w:hAnsi="Arial"/>
          <w:sz w:val="21"/>
          <w:szCs w:val="21"/>
        </w:rPr>
        <w:t xml:space="preserve">Gap % measures the difference between today's opening level and the previous close, expressed as a percentage. It is the first signal read each morning and feeds directly into Market Bias.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D9D9" w:val="clear"/>
            <w:tcMar>
              <w:top w:type="dxa" w:w="90"/>
              <w:left w:type="dxa" w:w="120"/>
              <w:bottom w:type="dxa" w:w="90"/>
              <w:right w:type="dxa" w:w="120"/>
            </w:tcMar>
          </w:tcPr>
          <w:p>
            <w:r>
              <w:rPr>
                <w:rFonts w:ascii="Arial" w:cs="Arial" w:eastAsia="Arial" w:hAnsi="Arial"/>
                <w:b/>
                <w:bCs/>
                <w:sz w:val="20"/>
                <w:szCs w:val="20"/>
              </w:rPr>
              <w:t xml:space="preserve">Gap %</w:t>
            </w:r>
          </w:p>
        </w:tc>
        <w:tc>
          <w:tcPr>
            <w:tcW w:type="dxa" w:w="5800"/>
            <w:shd w:fill="D9D9D9" w:val="clear"/>
            <w:tcMar>
              <w:top w:type="dxa" w:w="90"/>
              <w:left w:type="dxa" w:w="120"/>
              <w:bottom w:type="dxa" w:w="90"/>
              <w:right w:type="dxa" w:w="120"/>
            </w:tcMar>
          </w:tcPr>
          <w:p>
            <w:r>
              <w:rPr>
                <w:rFonts w:ascii="Arial" w:cs="Arial" w:eastAsia="Arial" w:hAnsi="Arial"/>
                <w:b/>
                <w:bCs/>
                <w:sz w:val="20"/>
                <w:szCs w:val="20"/>
              </w:rPr>
              <w:t xml:space="preserve">Reading</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&gt;0.75%</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Strong Gap Up</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0.25% – 0.75%</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Normal Gap Up</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-0.25% to 0.25%</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Flat</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-0.75% to -0.25%</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Normal Gap Down</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&lt;-0.75%</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Strong Gap Down</w:t>
            </w:r>
          </w:p>
        </w:tc>
      </w:tr>
    </w:tbl>
    <w:p>
      <w:pPr>
        <w:spacing w:after="200"/>
      </w:pPr>
    </w:p>
    <w:p>
      <w:pPr>
        <w:pStyle w:val="Heading2"/>
        <w:spacing w:after="150" w:before="300"/>
      </w:pPr>
      <w:r>
        <w:t xml:space="preserve">2. IV vs VIX</w:t>
      </w:r>
    </w:p>
    <w:p>
      <w:pPr>
        <w:spacing w:after="120"/>
      </w:pPr>
      <w:r>
        <w:rPr>
          <w:rFonts w:ascii="Arial" w:cs="Arial" w:eastAsia="Arial" w:hAnsi="Arial"/>
          <w:sz w:val="21"/>
          <w:szCs w:val="21"/>
        </w:rPr>
        <w:t xml:space="preserve">Compares the ATM implied volatility of the specific strike being considered against the broader India VIX, to judge whether that strike's premium is fairly priced, rich, or cheap relative to the market's overall volatility expectation.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D9D9" w:val="clear"/>
            <w:tcMar>
              <w:top w:type="dxa" w:w="90"/>
              <w:left w:type="dxa" w:w="120"/>
              <w:bottom w:type="dxa" w:w="90"/>
              <w:right w:type="dxa" w:w="120"/>
            </w:tcMar>
          </w:tcPr>
          <w:p>
            <w:r>
              <w:rPr>
                <w:rFonts w:ascii="Arial" w:cs="Arial" w:eastAsia="Arial" w:hAnsi="Arial"/>
                <w:b/>
                <w:bCs/>
                <w:sz w:val="20"/>
                <w:szCs w:val="20"/>
              </w:rPr>
              <w:t xml:space="preserve">Condition</w:t>
            </w:r>
          </w:p>
        </w:tc>
        <w:tc>
          <w:tcPr>
            <w:tcW w:type="dxa" w:w="5800"/>
            <w:shd w:fill="D9D9D9" w:val="clear"/>
            <w:tcMar>
              <w:top w:type="dxa" w:w="90"/>
              <w:left w:type="dxa" w:w="120"/>
              <w:bottom w:type="dxa" w:w="90"/>
              <w:right w:type="dxa" w:w="120"/>
            </w:tcMar>
          </w:tcPr>
          <w:p>
            <w:r>
              <w:rPr>
                <w:rFonts w:ascii="Arial" w:cs="Arial" w:eastAsia="Arial" w:hAnsi="Arial"/>
                <w:b/>
                <w:bCs/>
                <w:sz w:val="20"/>
                <w:szCs w:val="20"/>
              </w:rPr>
              <w:t xml:space="preserve">Reading</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Within ±2% of VIX</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Fairly priced — trade normally</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3%+ above VIX</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Overpriced premium — move closer to ATM or skip</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More than 2% below VIX</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Slightly cheap — mildly favorable, trade per VIX rule</w:t>
            </w:r>
          </w:p>
        </w:tc>
      </w:tr>
    </w:tbl>
    <w:p>
      <w:pPr>
        <w:spacing w:after="200"/>
      </w:pPr>
    </w:p>
    <w:p>
      <w:pPr>
        <w:pStyle w:val="Heading2"/>
        <w:spacing w:after="150" w:before="300"/>
      </w:pPr>
      <w:r>
        <w:t xml:space="preserve">3. VIX Level</w:t>
      </w:r>
    </w:p>
    <w:p>
      <w:pPr>
        <w:spacing w:after="120"/>
      </w:pPr>
      <w:r>
        <w:rPr>
          <w:rFonts w:ascii="Arial" w:cs="Arial" w:eastAsia="Arial" w:hAnsi="Arial"/>
          <w:sz w:val="21"/>
          <w:szCs w:val="21"/>
        </w:rPr>
        <w:t xml:space="preserve">India VIX sets the overall risk posture for the day — how rich premiums are running, and which strike to prefer to manage that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D9D9D9" w:val="clear"/>
            <w:tcMar>
              <w:top w:type="dxa" w:w="90"/>
              <w:left w:type="dxa" w:w="120"/>
              <w:bottom w:type="dxa" w:w="90"/>
              <w:right w:type="dxa" w:w="120"/>
            </w:tcMar>
          </w:tcPr>
          <w:p>
            <w:r>
              <w:rPr>
                <w:rFonts w:ascii="Arial" w:cs="Arial" w:eastAsia="Arial" w:hAnsi="Arial"/>
                <w:b/>
                <w:bCs/>
                <w:sz w:val="20"/>
                <w:szCs w:val="20"/>
              </w:rPr>
              <w:t xml:space="preserve">VIX</w:t>
            </w:r>
          </w:p>
        </w:tc>
        <w:tc>
          <w:tcPr>
            <w:tcW w:type="dxa" w:w="3600"/>
            <w:shd w:fill="D9D9D9" w:val="clear"/>
            <w:tcMar>
              <w:top w:type="dxa" w:w="90"/>
              <w:left w:type="dxa" w:w="120"/>
              <w:bottom w:type="dxa" w:w="90"/>
              <w:right w:type="dxa" w:w="120"/>
            </w:tcMar>
          </w:tcPr>
          <w:p>
            <w:r>
              <w:rPr>
                <w:rFonts w:ascii="Arial" w:cs="Arial" w:eastAsia="Arial" w:hAnsi="Arial"/>
                <w:b/>
                <w:bCs/>
                <w:sz w:val="20"/>
                <w:szCs w:val="20"/>
              </w:rPr>
              <w:t xml:space="preserve">Guidance</w:t>
            </w:r>
          </w:p>
        </w:tc>
        <w:tc>
          <w:tcPr>
            <w:tcW w:type="dxa" w:w="3600"/>
            <w:shd w:fill="D9D9D9" w:val="clear"/>
            <w:tcMar>
              <w:top w:type="dxa" w:w="90"/>
              <w:left w:type="dxa" w:w="120"/>
              <w:bottom w:type="dxa" w:w="90"/>
              <w:right w:type="dxa" w:w="120"/>
            </w:tcMar>
          </w:tcPr>
          <w:p>
            <w:r>
              <w:rPr>
                <w:rFonts w:ascii="Arial" w:cs="Arial" w:eastAsia="Arial" w:hAnsi="Arial"/>
                <w:b/>
                <w:bCs/>
                <w:sz w:val="20"/>
                <w:szCs w:val="20"/>
              </w:rPr>
              <w:t xml:space="preserve">Strike</w:t>
            </w:r>
          </w:p>
        </w:tc>
      </w:tr>
      <w:tr>
        <w:trPr>
          <w:tblHeader w:val="false"/>
        </w:trPr>
        <w:tc>
          <w:tcPr>
            <w:tcW w:type="dxa" w:w="1800"/>
            <w:tcMar>
              <w:top w:type="dxa" w:w="90"/>
              <w:left w:type="dxa" w:w="120"/>
              <w:bottom w:type="dxa" w:w="90"/>
              <w:right w:type="dxa" w:w="120"/>
            </w:tcMar>
          </w:tcPr>
          <w:p>
            <w:r>
              <w:rPr>
                <w:rFonts w:ascii="Arial" w:cs="Arial" w:eastAsia="Arial" w:hAnsi="Arial"/>
                <w:b w:val="false"/>
                <w:bCs w:val="false"/>
                <w:sz w:val="20"/>
                <w:szCs w:val="20"/>
              </w:rPr>
              <w:t xml:space="preserve">Below 11</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Trade with caution — small premiums, theta-heavy</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ATM only on strong momentum</w:t>
            </w:r>
          </w:p>
        </w:tc>
      </w:tr>
      <w:tr>
        <w:trPr>
          <w:tblHeader w:val="false"/>
        </w:trPr>
        <w:tc>
          <w:tcPr>
            <w:tcW w:type="dxa" w:w="1800"/>
            <w:tcMar>
              <w:top w:type="dxa" w:w="90"/>
              <w:left w:type="dxa" w:w="120"/>
              <w:bottom w:type="dxa" w:w="90"/>
              <w:right w:type="dxa" w:w="120"/>
            </w:tcMar>
          </w:tcPr>
          <w:p>
            <w:r>
              <w:rPr>
                <w:rFonts w:ascii="Arial" w:cs="Arial" w:eastAsia="Arial" w:hAnsi="Arial"/>
                <w:b w:val="false"/>
                <w:bCs w:val="false"/>
                <w:sz w:val="20"/>
                <w:szCs w:val="20"/>
              </w:rPr>
              <w:t xml:space="preserve">11–14</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Normal conditions, ideal for buying</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Follow standard rule (ATM/ITM by setup)</w:t>
            </w:r>
          </w:p>
        </w:tc>
      </w:tr>
      <w:tr>
        <w:trPr>
          <w:tblHeader w:val="false"/>
        </w:trPr>
        <w:tc>
          <w:tcPr>
            <w:tcW w:type="dxa" w:w="1800"/>
            <w:tcMar>
              <w:top w:type="dxa" w:w="90"/>
              <w:left w:type="dxa" w:w="120"/>
              <w:bottom w:type="dxa" w:w="90"/>
              <w:right w:type="dxa" w:w="120"/>
            </w:tcMar>
          </w:tcPr>
          <w:p>
            <w:r>
              <w:rPr>
                <w:rFonts w:ascii="Arial" w:cs="Arial" w:eastAsia="Arial" w:hAnsi="Arial"/>
                <w:b w:val="false"/>
                <w:bCs w:val="false"/>
                <w:sz w:val="20"/>
                <w:szCs w:val="20"/>
              </w:rPr>
              <w:t xml:space="preserve">14–18</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Elevated — premiums are richer</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Prefer 1-strike ITM to reduce IV exposure</w:t>
            </w:r>
          </w:p>
        </w:tc>
      </w:tr>
      <w:tr>
        <w:trPr>
          <w:tblHeader w:val="false"/>
        </w:trPr>
        <w:tc>
          <w:tcPr>
            <w:tcW w:type="dxa" w:w="1800"/>
            <w:tcMar>
              <w:top w:type="dxa" w:w="90"/>
              <w:left w:type="dxa" w:w="120"/>
              <w:bottom w:type="dxa" w:w="90"/>
              <w:right w:type="dxa" w:w="120"/>
            </w:tcMar>
          </w:tcPr>
          <w:p>
            <w:r>
              <w:rPr>
                <w:rFonts w:ascii="Arial" w:cs="Arial" w:eastAsia="Arial" w:hAnsi="Arial"/>
                <w:b w:val="false"/>
                <w:bCs w:val="false"/>
                <w:sz w:val="20"/>
                <w:szCs w:val="20"/>
              </w:rPr>
              <w:t xml:space="preserve">18–22</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High — IV crush risk</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2-strike ITM only, or skip trade</w:t>
            </w:r>
          </w:p>
        </w:tc>
      </w:tr>
      <w:tr>
        <w:trPr>
          <w:tblHeader w:val="false"/>
        </w:trPr>
        <w:tc>
          <w:tcPr>
            <w:tcW w:type="dxa" w:w="1800"/>
            <w:tcMar>
              <w:top w:type="dxa" w:w="90"/>
              <w:left w:type="dxa" w:w="120"/>
              <w:bottom w:type="dxa" w:w="90"/>
              <w:right w:type="dxa" w:w="120"/>
            </w:tcMar>
          </w:tcPr>
          <w:p>
            <w:r>
              <w:rPr>
                <w:rFonts w:ascii="Arial" w:cs="Arial" w:eastAsia="Arial" w:hAnsi="Arial"/>
                <w:b w:val="false"/>
                <w:bCs w:val="false"/>
                <w:sz w:val="20"/>
                <w:szCs w:val="20"/>
              </w:rPr>
              <w:t xml:space="preserve">Above 22</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Avoid fresh option buys</w:t>
            </w:r>
          </w:p>
        </w:tc>
        <w:tc>
          <w:tcPr>
            <w:tcW w:type="dxa" w:w="3600"/>
            <w:tcMar>
              <w:top w:type="dxa" w:w="90"/>
              <w:left w:type="dxa" w:w="120"/>
              <w:bottom w:type="dxa" w:w="90"/>
              <w:right w:type="dxa" w:w="120"/>
            </w:tcMar>
          </w:tcPr>
          <w:p>
            <w:r>
              <w:rPr>
                <w:rFonts w:ascii="Arial" w:cs="Arial" w:eastAsia="Arial" w:hAnsi="Arial"/>
                <w:b w:val="false"/>
                <w:bCs w:val="false"/>
                <w:sz w:val="20"/>
                <w:szCs w:val="20"/>
              </w:rPr>
              <w:t xml:space="preserve">Wait for VIX to normalize</w:t>
            </w:r>
          </w:p>
        </w:tc>
      </w:tr>
    </w:tbl>
    <w:p>
      <w:pPr>
        <w:spacing w:after="200"/>
      </w:pPr>
    </w:p>
    <w:p>
      <w:pPr>
        <w:pStyle w:val="Heading2"/>
        <w:spacing w:after="150" w:before="300"/>
      </w:pPr>
      <w:r>
        <w:t xml:space="preserve">4. PCR (Put-Call Ratio)</w:t>
      </w:r>
    </w:p>
    <w:p>
      <w:pPr>
        <w:spacing w:after="120"/>
      </w:pPr>
      <w:r>
        <w:rPr>
          <w:rFonts w:ascii="Arial" w:cs="Arial" w:eastAsia="Arial" w:hAnsi="Arial"/>
          <w:sz w:val="21"/>
          <w:szCs w:val="21"/>
        </w:rPr>
        <w:t xml:space="preserve">Put-Call Ratio reads options positioning: a high ratio means more puts are written relative to calls (typically a contrarian bullish signal), a low ratio the reverse.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D9D9" w:val="clear"/>
            <w:tcMar>
              <w:top w:type="dxa" w:w="90"/>
              <w:left w:type="dxa" w:w="120"/>
              <w:bottom w:type="dxa" w:w="90"/>
              <w:right w:type="dxa" w:w="120"/>
            </w:tcMar>
          </w:tcPr>
          <w:p>
            <w:r>
              <w:rPr>
                <w:rFonts w:ascii="Arial" w:cs="Arial" w:eastAsia="Arial" w:hAnsi="Arial"/>
                <w:b/>
                <w:bCs/>
                <w:sz w:val="20"/>
                <w:szCs w:val="20"/>
              </w:rPr>
              <w:t xml:space="preserve">PCR</w:t>
            </w:r>
          </w:p>
        </w:tc>
        <w:tc>
          <w:tcPr>
            <w:tcW w:type="dxa" w:w="5800"/>
            <w:shd w:fill="D9D9D9" w:val="clear"/>
            <w:tcMar>
              <w:top w:type="dxa" w:w="90"/>
              <w:left w:type="dxa" w:w="120"/>
              <w:bottom w:type="dxa" w:w="90"/>
              <w:right w:type="dxa" w:w="120"/>
            </w:tcMar>
          </w:tcPr>
          <w:p>
            <w:r>
              <w:rPr>
                <w:rFonts w:ascii="Arial" w:cs="Arial" w:eastAsia="Arial" w:hAnsi="Arial"/>
                <w:b/>
                <w:bCs/>
                <w:sz w:val="20"/>
                <w:szCs w:val="20"/>
              </w:rPr>
              <w:t xml:space="preserve">Reading</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&gt; 1.3</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Oversold / Bullish bias (excess puts written)</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0.8 – 1.3</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Neutral</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&lt; 0.8</w:t>
            </w:r>
          </w:p>
        </w:tc>
        <w:tc>
          <w:tcPr>
            <w:tcW w:type="dxa" w:w="5800"/>
            <w:tcMar>
              <w:top w:type="dxa" w:w="90"/>
              <w:left w:type="dxa" w:w="120"/>
              <w:bottom w:type="dxa" w:w="90"/>
              <w:right w:type="dxa" w:w="120"/>
            </w:tcMar>
          </w:tcPr>
          <w:p>
            <w:r>
              <w:rPr>
                <w:rFonts w:ascii="Arial" w:cs="Arial" w:eastAsia="Arial" w:hAnsi="Arial"/>
                <w:b w:val="false"/>
                <w:bCs w:val="false"/>
                <w:sz w:val="20"/>
                <w:szCs w:val="20"/>
              </w:rPr>
              <w:t xml:space="preserve">Overbought / Bearish bias (excess calls written)</w:t>
            </w:r>
          </w:p>
        </w:tc>
      </w:tr>
    </w:tbl>
    <w:p>
      <w:pPr>
        <w:spacing w:after="200"/>
      </w:pPr>
    </w:p>
    <w:p>
      <w:pPr>
        <w:pStyle w:val="Heading2"/>
        <w:spacing w:after="150" w:before="300"/>
      </w:pPr>
      <w:r>
        <w:t xml:space="preserve">5. Max Pain</w:t>
      </w:r>
    </w:p>
    <w:p>
      <w:pPr>
        <w:spacing w:after="120"/>
      </w:pPr>
      <w:r>
        <w:rPr>
          <w:rFonts w:ascii="Arial" w:cs="Arial" w:eastAsia="Arial" w:hAnsi="Arial"/>
          <w:sz w:val="21"/>
          <w:szCs w:val="21"/>
        </w:rPr>
        <w:t xml:space="preserve">Max Pain is the strike at which option writers as a group lose the least money at expiry. Price often gravitates toward this level as expiry approaches, so the distance between spot and Max Pain is read as a directional pull.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9D9D9" w:val="clear"/>
            <w:tcMar>
              <w:top w:type="dxa" w:w="90"/>
              <w:left w:type="dxa" w:w="120"/>
              <w:bottom w:type="dxa" w:w="90"/>
              <w:right w:type="dxa" w:w="120"/>
            </w:tcMar>
          </w:tcPr>
          <w:p>
            <w:r>
              <w:rPr>
                <w:rFonts w:ascii="Arial" w:cs="Arial" w:eastAsia="Arial" w:hAnsi="Arial"/>
                <w:b/>
                <w:bCs/>
                <w:sz w:val="20"/>
                <w:szCs w:val="20"/>
              </w:rPr>
              <w:t xml:space="preserve">Spot vs Max Pain</w:t>
            </w:r>
          </w:p>
        </w:tc>
        <w:tc>
          <w:tcPr>
            <w:tcW w:type="dxa" w:w="5200"/>
            <w:shd w:fill="D9D9D9" w:val="clear"/>
            <w:tcMar>
              <w:top w:type="dxa" w:w="90"/>
              <w:left w:type="dxa" w:w="120"/>
              <w:bottom w:type="dxa" w:w="90"/>
              <w:right w:type="dxa" w:w="120"/>
            </w:tcMar>
          </w:tcPr>
          <w:p>
            <w:r>
              <w:rPr>
                <w:rFonts w:ascii="Arial" w:cs="Arial" w:eastAsia="Arial" w:hAnsi="Arial"/>
                <w:b/>
                <w:bCs/>
                <w:sz w:val="20"/>
                <w:szCs w:val="20"/>
              </w:rPr>
              <w:t xml:space="preserve">Reading</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Above Max Pain by &gt;0.3%</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Downward pull likely toward expiry</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Within ±0.3% of Max Pain</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Pinning likely</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Below Max Pain by &gt;0.3%</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Upward pull likely toward expiry</w:t>
            </w:r>
          </w:p>
        </w:tc>
      </w:tr>
    </w:tbl>
    <w:p>
      <w:pPr>
        <w:spacing w:after="200"/>
      </w:pPr>
    </w:p>
    <w:p>
      <w:pPr>
        <w:pStyle w:val="Heading2"/>
        <w:spacing w:after="150" w:before="300"/>
      </w:pPr>
      <w:r>
        <w:t xml:space="preserve">6. Open Interest Change</w:t>
      </w:r>
    </w:p>
    <w:p>
      <w:pPr>
        <w:spacing w:after="120"/>
      </w:pPr>
      <w:r>
        <w:rPr>
          <w:rFonts w:ascii="Arial" w:cs="Arial" w:eastAsia="Arial" w:hAnsi="Arial"/>
          <w:sz w:val="21"/>
          <w:szCs w:val="21"/>
        </w:rPr>
        <w:t xml:space="preserve">Tracks whether open interest at the key support and resistance strikes grew or shrank between the two most recent completed trading days — a proxy for whether that level is being defended or abandoned. "Addition" and "Unwinding" are determined upstream by comparing OI at the key strike across Day-1 and Day-2; this table only maps that label to its interpretation.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9D9D9" w:val="clear"/>
            <w:tcMar>
              <w:top w:type="dxa" w:w="90"/>
              <w:left w:type="dxa" w:w="120"/>
              <w:bottom w:type="dxa" w:w="90"/>
              <w:right w:type="dxa" w:w="120"/>
            </w:tcMar>
          </w:tcPr>
          <w:p>
            <w:r>
              <w:rPr>
                <w:rFonts w:ascii="Arial" w:cs="Arial" w:eastAsia="Arial" w:hAnsi="Arial"/>
                <w:b/>
                <w:bCs/>
                <w:sz w:val="20"/>
                <w:szCs w:val="20"/>
              </w:rPr>
              <w:t xml:space="preserve">OI Signal</w:t>
            </w:r>
          </w:p>
        </w:tc>
        <w:tc>
          <w:tcPr>
            <w:tcW w:type="dxa" w:w="5200"/>
            <w:shd w:fill="D9D9D9" w:val="clear"/>
            <w:tcMar>
              <w:top w:type="dxa" w:w="90"/>
              <w:left w:type="dxa" w:w="120"/>
              <w:bottom w:type="dxa" w:w="90"/>
              <w:right w:type="dxa" w:w="120"/>
            </w:tcMar>
          </w:tcPr>
          <w:p>
            <w:r>
              <w:rPr>
                <w:rFonts w:ascii="Arial" w:cs="Arial" w:eastAsia="Arial" w:hAnsi="Arial"/>
                <w:b/>
                <w:bCs/>
                <w:sz w:val="20"/>
                <w:szCs w:val="20"/>
              </w:rPr>
              <w:t xml:space="preserve">Reading</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Support = Addition</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Support strengthening</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Support = Unwinding</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Support weakening — breakdown risk</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Resistance = Addition</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Resistance strengthening</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Resistance = Unwinding</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Resistance weakening — breakout risk</w:t>
            </w:r>
          </w:p>
        </w:tc>
      </w:tr>
    </w:tbl>
    <w:p>
      <w:pPr>
        <w:spacing w:after="200"/>
      </w:pPr>
    </w:p>
    <w:p>
      <w:pPr>
        <w:pStyle w:val="Heading2"/>
        <w:spacing w:after="150" w:before="300"/>
      </w:pPr>
      <w:r>
        <w:t xml:space="preserve">7. Days to Expiry (DTE)</w:t>
      </w:r>
    </w:p>
    <w:p>
      <w:pPr>
        <w:spacing w:after="120"/>
      </w:pPr>
      <w:r>
        <w:rPr>
          <w:rFonts w:ascii="Arial" w:cs="Arial" w:eastAsia="Arial" w:hAnsi="Arial"/>
          <w:sz w:val="21"/>
          <w:szCs w:val="21"/>
        </w:rPr>
        <w:t xml:space="preserve">Time to expiry governs gamma risk — how sharply an option's value can swing on a small move in the underlying, especially near expiry.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D9D9" w:val="clear"/>
            <w:tcMar>
              <w:top w:type="dxa" w:w="90"/>
              <w:left w:type="dxa" w:w="120"/>
              <w:bottom w:type="dxa" w:w="90"/>
              <w:right w:type="dxa" w:w="120"/>
            </w:tcMar>
          </w:tcPr>
          <w:p>
            <w:r>
              <w:rPr>
                <w:rFonts w:ascii="Arial" w:cs="Arial" w:eastAsia="Arial" w:hAnsi="Arial"/>
                <w:b/>
                <w:bCs/>
                <w:sz w:val="20"/>
                <w:szCs w:val="20"/>
              </w:rPr>
              <w:t xml:space="preserve">DTE</w:t>
            </w:r>
          </w:p>
        </w:tc>
        <w:tc>
          <w:tcPr>
            <w:tcW w:type="dxa" w:w="6400"/>
            <w:shd w:fill="D9D9D9" w:val="clear"/>
            <w:tcMar>
              <w:top w:type="dxa" w:w="90"/>
              <w:left w:type="dxa" w:w="120"/>
              <w:bottom w:type="dxa" w:w="90"/>
              <w:right w:type="dxa" w:w="120"/>
            </w:tcMar>
          </w:tcPr>
          <w:p>
            <w:r>
              <w:rPr>
                <w:rFonts w:ascii="Arial" w:cs="Arial" w:eastAsia="Arial" w:hAnsi="Arial"/>
                <w:b/>
                <w:bCs/>
                <w:sz w:val="20"/>
                <w:szCs w:val="20"/>
              </w:rPr>
              <w:t xml:space="preserve">Reading</w:t>
            </w:r>
          </w:p>
        </w:tc>
      </w:tr>
      <w:tr>
        <w:trPr>
          <w:tblHeader w:val="false"/>
        </w:trPr>
        <w:tc>
          <w:tcPr>
            <w:tcW w:type="dxa" w:w="2600"/>
            <w:tcMar>
              <w:top w:type="dxa" w:w="90"/>
              <w:left w:type="dxa" w:w="120"/>
              <w:bottom w:type="dxa" w:w="90"/>
              <w:right w:type="dxa" w:w="120"/>
            </w:tcMar>
          </w:tcPr>
          <w:p>
            <w:r>
              <w:rPr>
                <w:rFonts w:ascii="Arial" w:cs="Arial" w:eastAsia="Arial" w:hAnsi="Arial"/>
                <w:b w:val="false"/>
                <w:bCs w:val="false"/>
                <w:sz w:val="20"/>
                <w:szCs w:val="20"/>
              </w:rPr>
              <w:t xml:space="preserve">≤ 1</w:t>
            </w:r>
          </w:p>
        </w:tc>
        <w:tc>
          <w:tcPr>
            <w:tcW w:type="dxa" w:w="6400"/>
            <w:tcMar>
              <w:top w:type="dxa" w:w="90"/>
              <w:left w:type="dxa" w:w="120"/>
              <w:bottom w:type="dxa" w:w="90"/>
              <w:right w:type="dxa" w:w="120"/>
            </w:tcMar>
          </w:tcPr>
          <w:p>
            <w:r>
              <w:rPr>
                <w:rFonts w:ascii="Arial" w:cs="Arial" w:eastAsia="Arial" w:hAnsi="Arial"/>
                <w:b w:val="false"/>
                <w:bCs w:val="false"/>
                <w:sz w:val="20"/>
                <w:szCs w:val="20"/>
              </w:rPr>
              <w:t xml:space="preserve">High gamma risk — prefer spreads over naked options</w:t>
            </w:r>
          </w:p>
        </w:tc>
      </w:tr>
      <w:tr>
        <w:trPr>
          <w:tblHeader w:val="false"/>
        </w:trPr>
        <w:tc>
          <w:tcPr>
            <w:tcW w:type="dxa" w:w="2600"/>
            <w:tcMar>
              <w:top w:type="dxa" w:w="90"/>
              <w:left w:type="dxa" w:w="120"/>
              <w:bottom w:type="dxa" w:w="90"/>
              <w:right w:type="dxa" w:w="120"/>
            </w:tcMar>
          </w:tcPr>
          <w:p>
            <w:r>
              <w:rPr>
                <w:rFonts w:ascii="Arial" w:cs="Arial" w:eastAsia="Arial" w:hAnsi="Arial"/>
                <w:b w:val="false"/>
                <w:bCs w:val="false"/>
                <w:sz w:val="20"/>
                <w:szCs w:val="20"/>
              </w:rPr>
              <w:t xml:space="preserve">2 – 4</w:t>
            </w:r>
          </w:p>
        </w:tc>
        <w:tc>
          <w:tcPr>
            <w:tcW w:type="dxa" w:w="6400"/>
            <w:tcMar>
              <w:top w:type="dxa" w:w="90"/>
              <w:left w:type="dxa" w:w="120"/>
              <w:bottom w:type="dxa" w:w="90"/>
              <w:right w:type="dxa" w:w="120"/>
            </w:tcMar>
          </w:tcPr>
          <w:p>
            <w:r>
              <w:rPr>
                <w:rFonts w:ascii="Arial" w:cs="Arial" w:eastAsia="Arial" w:hAnsi="Arial"/>
                <w:b w:val="false"/>
                <w:bCs w:val="false"/>
                <w:sz w:val="20"/>
                <w:szCs w:val="20"/>
              </w:rPr>
              <w:t xml:space="preserve">Normal</w:t>
            </w:r>
          </w:p>
        </w:tc>
      </w:tr>
      <w:tr>
        <w:trPr>
          <w:tblHeader w:val="false"/>
        </w:trPr>
        <w:tc>
          <w:tcPr>
            <w:tcW w:type="dxa" w:w="2600"/>
            <w:tcMar>
              <w:top w:type="dxa" w:w="90"/>
              <w:left w:type="dxa" w:w="120"/>
              <w:bottom w:type="dxa" w:w="90"/>
              <w:right w:type="dxa" w:w="120"/>
            </w:tcMar>
          </w:tcPr>
          <w:p>
            <w:r>
              <w:rPr>
                <w:rFonts w:ascii="Arial" w:cs="Arial" w:eastAsia="Arial" w:hAnsi="Arial"/>
                <w:b w:val="false"/>
                <w:bCs w:val="false"/>
                <w:sz w:val="20"/>
                <w:szCs w:val="20"/>
              </w:rPr>
              <w:t xml:space="preserve">&gt; 4</w:t>
            </w:r>
          </w:p>
        </w:tc>
        <w:tc>
          <w:tcPr>
            <w:tcW w:type="dxa" w:w="6400"/>
            <w:tcMar>
              <w:top w:type="dxa" w:w="90"/>
              <w:left w:type="dxa" w:w="120"/>
              <w:bottom w:type="dxa" w:w="90"/>
              <w:right w:type="dxa" w:w="120"/>
            </w:tcMar>
          </w:tcPr>
          <w:p>
            <w:r>
              <w:rPr>
                <w:rFonts w:ascii="Arial" w:cs="Arial" w:eastAsia="Arial" w:hAnsi="Arial"/>
                <w:b w:val="false"/>
                <w:bCs w:val="false"/>
                <w:sz w:val="20"/>
                <w:szCs w:val="20"/>
              </w:rPr>
              <w:t xml:space="preserve">Lower gamma risk — naked options viable if conviction is high</w:t>
            </w:r>
          </w:p>
        </w:tc>
      </w:tr>
    </w:tbl>
    <w:p>
      <w:pPr>
        <w:spacing w:after="200"/>
      </w:pPr>
    </w:p>
    <w:p>
      <w:pPr>
        <w:pStyle w:val="Heading2"/>
        <w:spacing w:after="150" w:before="300"/>
      </w:pPr>
      <w:r>
        <w:t xml:space="preserve">8. Event Today</w:t>
      </w:r>
    </w:p>
    <w:p>
      <w:pPr>
        <w:spacing w:after="120"/>
      </w:pPr>
      <w:r>
        <w:rPr>
          <w:rFonts w:ascii="Arial" w:cs="Arial" w:eastAsia="Arial" w:hAnsi="Arial"/>
          <w:sz w:val="21"/>
          <w:szCs w:val="21"/>
        </w:rPr>
        <w:t xml:space="preserve">Scheduled high-visibility events (central bank decisions, major data releases, etc.) are tiered by expected market impact. Only High-impact events change the suggested strategy; Medium and Low-impact events are surfaced for awareness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D9D9" w:val="clear"/>
            <w:tcMar>
              <w:top w:type="dxa" w:w="90"/>
              <w:left w:type="dxa" w:w="120"/>
              <w:bottom w:type="dxa" w:w="90"/>
              <w:right w:type="dxa" w:w="120"/>
            </w:tcMar>
          </w:tcPr>
          <w:p>
            <w:r>
              <w:rPr>
                <w:rFonts w:ascii="Arial" w:cs="Arial" w:eastAsia="Arial" w:hAnsi="Arial"/>
                <w:b/>
                <w:bCs/>
                <w:sz w:val="20"/>
                <w:szCs w:val="20"/>
              </w:rPr>
              <w:t xml:space="preserve">Impact Tier</w:t>
            </w:r>
          </w:p>
        </w:tc>
        <w:tc>
          <w:tcPr>
            <w:tcW w:type="dxa" w:w="6400"/>
            <w:shd w:fill="D9D9D9" w:val="clear"/>
            <w:tcMar>
              <w:top w:type="dxa" w:w="90"/>
              <w:left w:type="dxa" w:w="120"/>
              <w:bottom w:type="dxa" w:w="90"/>
              <w:right w:type="dxa" w:w="120"/>
            </w:tcMar>
          </w:tcPr>
          <w:p>
            <w:r>
              <w:rPr>
                <w:rFonts w:ascii="Arial" w:cs="Arial" w:eastAsia="Arial" w:hAnsi="Arial"/>
                <w:b/>
                <w:bCs/>
                <w:sz w:val="20"/>
                <w:szCs w:val="20"/>
              </w:rPr>
              <w:t xml:space="preserve">Action</w:t>
            </w:r>
          </w:p>
        </w:tc>
      </w:tr>
      <w:tr>
        <w:trPr>
          <w:tblHeader w:val="false"/>
        </w:trPr>
        <w:tc>
          <w:tcPr>
            <w:tcW w:type="dxa" w:w="2600"/>
            <w:tcMar>
              <w:top w:type="dxa" w:w="90"/>
              <w:left w:type="dxa" w:w="120"/>
              <w:bottom w:type="dxa" w:w="90"/>
              <w:right w:type="dxa" w:w="120"/>
            </w:tcMar>
          </w:tcPr>
          <w:p>
            <w:r>
              <w:rPr>
                <w:rFonts w:ascii="Arial" w:cs="Arial" w:eastAsia="Arial" w:hAnsi="Arial"/>
                <w:b w:val="false"/>
                <w:bCs w:val="false"/>
                <w:sz w:val="20"/>
                <w:szCs w:val="20"/>
              </w:rPr>
              <w:t xml:space="preserve">High</w:t>
            </w:r>
          </w:p>
        </w:tc>
        <w:tc>
          <w:tcPr>
            <w:tcW w:type="dxa" w:w="6400"/>
            <w:tcMar>
              <w:top w:type="dxa" w:w="90"/>
              <w:left w:type="dxa" w:w="120"/>
              <w:bottom w:type="dxa" w:w="90"/>
              <w:right w:type="dxa" w:w="120"/>
            </w:tcMar>
          </w:tcPr>
          <w:p>
            <w:r>
              <w:rPr>
                <w:rFonts w:ascii="Arial" w:cs="Arial" w:eastAsia="Arial" w:hAnsi="Arial"/>
                <w:b w:val="false"/>
                <w:bCs w:val="false"/>
                <w:sz w:val="20"/>
                <w:szCs w:val="20"/>
              </w:rPr>
              <w:t xml:space="preserve">Display event name and time. Suggested strategy overridden to "Trade with caution."</w:t>
            </w:r>
          </w:p>
        </w:tc>
      </w:tr>
      <w:tr>
        <w:trPr>
          <w:tblHeader w:val="false"/>
        </w:trPr>
        <w:tc>
          <w:tcPr>
            <w:tcW w:type="dxa" w:w="2600"/>
            <w:tcMar>
              <w:top w:type="dxa" w:w="90"/>
              <w:left w:type="dxa" w:w="120"/>
              <w:bottom w:type="dxa" w:w="90"/>
              <w:right w:type="dxa" w:w="120"/>
            </w:tcMar>
          </w:tcPr>
          <w:p>
            <w:r>
              <w:rPr>
                <w:rFonts w:ascii="Arial" w:cs="Arial" w:eastAsia="Arial" w:hAnsi="Arial"/>
                <w:b w:val="false"/>
                <w:bCs w:val="false"/>
                <w:sz w:val="20"/>
                <w:szCs w:val="20"/>
              </w:rPr>
              <w:t xml:space="preserve">Medium</w:t>
            </w:r>
          </w:p>
        </w:tc>
        <w:tc>
          <w:tcPr>
            <w:tcW w:type="dxa" w:w="6400"/>
            <w:tcMar>
              <w:top w:type="dxa" w:w="90"/>
              <w:left w:type="dxa" w:w="120"/>
              <w:bottom w:type="dxa" w:w="90"/>
              <w:right w:type="dxa" w:w="120"/>
            </w:tcMar>
          </w:tcPr>
          <w:p>
            <w:r>
              <w:rPr>
                <w:rFonts w:ascii="Arial" w:cs="Arial" w:eastAsia="Arial" w:hAnsi="Arial"/>
                <w:b w:val="false"/>
                <w:bCs w:val="false"/>
                <w:sz w:val="20"/>
                <w:szCs w:val="20"/>
              </w:rPr>
              <w:t xml:space="preserve">Display event name and time as an informational tag. No strategy override — normal rules apply.</w:t>
            </w:r>
          </w:p>
        </w:tc>
      </w:tr>
      <w:tr>
        <w:trPr>
          <w:tblHeader w:val="false"/>
        </w:trPr>
        <w:tc>
          <w:tcPr>
            <w:tcW w:type="dxa" w:w="2600"/>
            <w:tcMar>
              <w:top w:type="dxa" w:w="90"/>
              <w:left w:type="dxa" w:w="120"/>
              <w:bottom w:type="dxa" w:w="90"/>
              <w:right w:type="dxa" w:w="120"/>
            </w:tcMar>
          </w:tcPr>
          <w:p>
            <w:r>
              <w:rPr>
                <w:rFonts w:ascii="Arial" w:cs="Arial" w:eastAsia="Arial" w:hAnsi="Arial"/>
                <w:b w:val="false"/>
                <w:bCs w:val="false"/>
                <w:sz w:val="20"/>
                <w:szCs w:val="20"/>
              </w:rPr>
              <w:t xml:space="preserve">Low</w:t>
            </w:r>
          </w:p>
        </w:tc>
        <w:tc>
          <w:tcPr>
            <w:tcW w:type="dxa" w:w="6400"/>
            <w:tcMar>
              <w:top w:type="dxa" w:w="90"/>
              <w:left w:type="dxa" w:w="120"/>
              <w:bottom w:type="dxa" w:w="90"/>
              <w:right w:type="dxa" w:w="120"/>
            </w:tcMar>
          </w:tcPr>
          <w:p>
            <w:r>
              <w:rPr>
                <w:rFonts w:ascii="Arial" w:cs="Arial" w:eastAsia="Arial" w:hAnsi="Arial"/>
                <w:b w:val="false"/>
                <w:bCs w:val="false"/>
                <w:sz w:val="20"/>
                <w:szCs w:val="20"/>
              </w:rPr>
              <w:t xml:space="preserve">Display event name and time as an informational tag. No strategy override — normal rules apply.</w:t>
            </w:r>
          </w:p>
        </w:tc>
      </w:tr>
      <w:tr>
        <w:trPr>
          <w:tblHeader w:val="false"/>
        </w:trPr>
        <w:tc>
          <w:tcPr>
            <w:tcW w:type="dxa" w:w="2600"/>
            <w:tcMar>
              <w:top w:type="dxa" w:w="90"/>
              <w:left w:type="dxa" w:w="120"/>
              <w:bottom w:type="dxa" w:w="90"/>
              <w:right w:type="dxa" w:w="120"/>
            </w:tcMar>
          </w:tcPr>
          <w:p>
            <w:r>
              <w:rPr>
                <w:rFonts w:ascii="Arial" w:cs="Arial" w:eastAsia="Arial" w:hAnsi="Arial"/>
                <w:b w:val="false"/>
                <w:bCs w:val="false"/>
                <w:sz w:val="20"/>
                <w:szCs w:val="20"/>
              </w:rPr>
              <w:t xml:space="preserve">None</w:t>
            </w:r>
          </w:p>
        </w:tc>
        <w:tc>
          <w:tcPr>
            <w:tcW w:type="dxa" w:w="6400"/>
            <w:tcMar>
              <w:top w:type="dxa" w:w="90"/>
              <w:left w:type="dxa" w:w="120"/>
              <w:bottom w:type="dxa" w:w="90"/>
              <w:right w:type="dxa" w:w="120"/>
            </w:tcMar>
          </w:tcPr>
          <w:p>
            <w:r>
              <w:rPr>
                <w:rFonts w:ascii="Arial" w:cs="Arial" w:eastAsia="Arial" w:hAnsi="Arial"/>
                <w:b w:val="false"/>
                <w:bCs w:val="false"/>
                <w:sz w:val="20"/>
                <w:szCs w:val="20"/>
              </w:rPr>
              <w:t xml:space="preserve">No message shown.</w:t>
            </w:r>
          </w:p>
        </w:tc>
      </w:tr>
    </w:tbl>
    <w:p>
      <w:pPr>
        <w:spacing w:after="200"/>
      </w:pPr>
    </w:p>
    <w:p>
      <w:pPr>
        <w:pStyle w:val="Heading2"/>
        <w:spacing w:after="150" w:before="300"/>
      </w:pPr>
      <w:r>
        <w:t xml:space="preserve">9. Strategy Selection</w:t>
      </w:r>
    </w:p>
    <w:p>
      <w:pPr>
        <w:spacing w:after="120"/>
      </w:pPr>
      <w:r>
        <w:rPr>
          <w:rFonts w:ascii="Arial" w:cs="Arial" w:eastAsia="Arial" w:hAnsi="Arial"/>
          <w:sz w:val="21"/>
          <w:szCs w:val="21"/>
        </w:rPr>
        <w:t xml:space="preserve">Combines the day's directional read (Trend vs Range) with the IV pricing read (Section 2) to select a strategy shape. DTE and a High-impact event can each override the base selection.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9D9D9" w:val="clear"/>
            <w:tcMar>
              <w:top w:type="dxa" w:w="90"/>
              <w:left w:type="dxa" w:w="120"/>
              <w:bottom w:type="dxa" w:w="90"/>
              <w:right w:type="dxa" w:w="120"/>
            </w:tcMar>
          </w:tcPr>
          <w:p>
            <w:r>
              <w:rPr>
                <w:rFonts w:ascii="Arial" w:cs="Arial" w:eastAsia="Arial" w:hAnsi="Arial"/>
                <w:b/>
                <w:bCs/>
                <w:sz w:val="20"/>
                <w:szCs w:val="20"/>
              </w:rPr>
              <w:t xml:space="preserve">Condition</w:t>
            </w:r>
          </w:p>
        </w:tc>
        <w:tc>
          <w:tcPr>
            <w:tcW w:type="dxa" w:w="5200"/>
            <w:shd w:fill="D9D9D9" w:val="clear"/>
            <w:tcMar>
              <w:top w:type="dxa" w:w="90"/>
              <w:left w:type="dxa" w:w="120"/>
              <w:bottom w:type="dxa" w:w="90"/>
              <w:right w:type="dxa" w:w="120"/>
            </w:tcMar>
          </w:tcPr>
          <w:p>
            <w:r>
              <w:rPr>
                <w:rFonts w:ascii="Arial" w:cs="Arial" w:eastAsia="Arial" w:hAnsi="Arial"/>
                <w:b/>
                <w:bCs/>
                <w:sz w:val="20"/>
                <w:szCs w:val="20"/>
              </w:rPr>
              <w:t xml:space="preserve">Strategy</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Trend + High IV (Premium Expensive)</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Debit Spread (Call or Put per bias)</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Range + High IV (Premium Expensive)</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Credit Spread</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Trend + Low/Fair IV</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Naked Option (Call or Put per bias)</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Range + Low/Fair IV</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Iron Condor</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Any + DTE ≤ 1</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Force Spread / Iron Condor (overrides naked options)</w:t>
            </w:r>
          </w:p>
        </w:tc>
      </w:tr>
      <w:tr>
        <w:trPr>
          <w:tblHeader w:val="false"/>
        </w:trPr>
        <w:tc>
          <w:tcPr>
            <w:tcW w:type="dxa" w:w="3800"/>
            <w:tcMar>
              <w:top w:type="dxa" w:w="90"/>
              <w:left w:type="dxa" w:w="120"/>
              <w:bottom w:type="dxa" w:w="90"/>
              <w:right w:type="dxa" w:w="120"/>
            </w:tcMar>
          </w:tcPr>
          <w:p>
            <w:r>
              <w:rPr>
                <w:rFonts w:ascii="Arial" w:cs="Arial" w:eastAsia="Arial" w:hAnsi="Arial"/>
                <w:b w:val="false"/>
                <w:bCs w:val="false"/>
                <w:sz w:val="20"/>
                <w:szCs w:val="20"/>
              </w:rPr>
              <w:t xml:space="preserve">High-impact Event Today</w:t>
            </w:r>
          </w:p>
        </w:tc>
        <w:tc>
          <w:tcPr>
            <w:tcW w:type="dxa" w:w="5200"/>
            <w:tcMar>
              <w:top w:type="dxa" w:w="90"/>
              <w:left w:type="dxa" w:w="120"/>
              <w:bottom w:type="dxa" w:w="90"/>
              <w:right w:type="dxa" w:w="120"/>
            </w:tcMar>
          </w:tcPr>
          <w:p>
            <w:r>
              <w:rPr>
                <w:rFonts w:ascii="Arial" w:cs="Arial" w:eastAsia="Arial" w:hAnsi="Arial"/>
                <w:b w:val="false"/>
                <w:bCs w:val="false"/>
                <w:sz w:val="20"/>
                <w:szCs w:val="20"/>
              </w:rPr>
              <w:t xml:space="preserve">Trade with Caution (overrides all else)</w:t>
            </w:r>
          </w:p>
        </w:tc>
      </w:tr>
    </w:tbl>
    <w:p>
      <w:pPr>
        <w:spacing w:after="120"/>
      </w:pPr>
      <w:r>
        <w:rPr>
          <w:rFonts w:ascii="Arial" w:cs="Arial" w:eastAsia="Arial" w:hAnsi="Arial"/>
          <w:i/>
          <w:iCs/>
          <w:sz w:val="21"/>
          <w:szCs w:val="21"/>
        </w:rPr>
        <w:t xml:space="preserve">Note: "Trend" vs "Range" is used here as an input but is not yet defined by an explicit rule elsewhere in the system — it currently depends on judgment. A formal source rule (e.g. derived from the Gap % reading) is planned but not yet finalized.</w:t>
      </w:r>
    </w:p>
    <w:p>
      <w:pPr>
        <w:spacing w:after="200"/>
      </w:pPr>
    </w:p>
    <w:p>
      <w:pPr>
        <w:pStyle w:val="Heading2"/>
        <w:spacing w:after="150" w:before="300"/>
      </w:pPr>
      <w:r>
        <w:t xml:space="preserve">10. Expected Move &amp; Target / Stop-Loss</w:t>
      </w:r>
    </w:p>
    <w:p>
      <w:pPr>
        <w:spacing w:after="120"/>
      </w:pPr>
      <w:r>
        <w:rPr>
          <w:rFonts w:ascii="Arial" w:cs="Arial" w:eastAsia="Arial" w:hAnsi="Arial"/>
          <w:sz w:val="21"/>
          <w:szCs w:val="21"/>
        </w:rPr>
        <w:t xml:space="preserve">Converts the day's volatility inputs into a concrete points target, stop-loss, and — for naked options and spreads — a premium/₹ target and stop-loss.</w:t>
      </w:r>
    </w:p>
    <w:p>
      <w:pPr>
        <w:spacing w:after="100"/>
      </w:pPr>
    </w:p>
    <w:p>
      <w:pPr>
        <w:spacing w:after="120"/>
      </w:pPr>
      <w:r>
        <w:rPr>
          <w:rFonts w:ascii="Arial" w:cs="Arial" w:eastAsia="Arial" w:hAnsi="Arial"/>
          <w:b/>
          <w:bCs/>
          <w:sz w:val="21"/>
          <w:szCs w:val="21"/>
        </w:rPr>
        <w:t xml:space="preserve">10a. Daily Expected Move (points)</w:t>
      </w:r>
    </w:p>
    <w:p>
      <w:pPr>
        <w:spacing w:after="120"/>
      </w:pPr>
      <w:r>
        <w:rPr>
          <w:rFonts w:ascii="Arial" w:cs="Arial" w:eastAsia="Arial" w:hAnsi="Arial"/>
          <w:sz w:val="21"/>
          <w:szCs w:val="21"/>
        </w:rPr>
        <w:t xml:space="preserve">Two independent estimates of how far the index is likely to move today are calculated, then combined by taking the tighter (Conservative) and the wider (Aggressive) of the two:</w:t>
      </w:r>
    </w:p>
    <w:p>
      <w:pPr>
        <w:spacing w:after="120"/>
      </w:pPr>
      <w:r>
        <w:rPr>
          <w:rFonts w:ascii="Arial" w:cs="Arial" w:eastAsia="Arial" w:hAnsi="Arial"/>
          <w:sz w:val="21"/>
          <w:szCs w:val="21"/>
        </w:rPr>
        <w:t xml:space="preserve">Estimate 1 — Straddle-implied move: ATM Straddle Price ÷ √(max(Days to Expiry, 1))</w:t>
      </w:r>
    </w:p>
    <w:p>
      <w:pPr>
        <w:spacing w:after="120"/>
      </w:pPr>
      <w:r>
        <w:rPr>
          <w:rFonts w:ascii="Arial" w:cs="Arial" w:eastAsia="Arial" w:hAnsi="Arial"/>
          <w:sz w:val="21"/>
          <w:szCs w:val="21"/>
        </w:rPr>
        <w:t xml:space="preserve">Estimate 2 — Historical move: 5-Day Average Move (points)</w:t>
      </w:r>
    </w:p>
    <w:p>
      <w:pPr>
        <w:spacing w:after="120"/>
      </w:pPr>
      <w:r>
        <w:rPr>
          <w:rFonts w:ascii="Arial" w:cs="Arial" w:eastAsia="Arial" w:hAnsi="Arial"/>
          <w:sz w:val="21"/>
          <w:szCs w:val="21"/>
        </w:rPr>
        <w:t xml:space="preserve">Conservative Expected Move = the smaller of the two estimates. Aggressive Expected Move = the larger.</w:t>
      </w:r>
    </w:p>
    <w:p>
      <w:pPr>
        <w:spacing w:after="120"/>
      </w:pPr>
      <w:r>
        <w:rPr>
          <w:rFonts w:ascii="Arial" w:cs="Arial" w:eastAsia="Arial" w:hAnsi="Arial"/>
          <w:sz w:val="21"/>
          <w:szCs w:val="21"/>
        </w:rPr>
        <w:t xml:space="preserve">Calculated separately for NIFTY and SENSEX, using each instrument's own straddle price, DTE, and 5-day average.</w:t>
      </w:r>
    </w:p>
    <w:p>
      <w:pPr>
        <w:spacing w:after="200"/>
      </w:pPr>
    </w:p>
    <w:p>
      <w:pPr>
        <w:spacing w:after="120"/>
      </w:pPr>
      <w:r>
        <w:rPr>
          <w:rFonts w:ascii="Arial" w:cs="Arial" w:eastAsia="Arial" w:hAnsi="Arial"/>
          <w:b/>
          <w:bCs/>
          <w:sz w:val="21"/>
          <w:szCs w:val="21"/>
        </w:rPr>
        <w:t xml:space="preserve">10b. Target / Stop-Loss (points)</w:t>
      </w:r>
    </w:p>
    <w:p>
      <w:pPr>
        <w:spacing w:after="120"/>
      </w:pPr>
      <w:r>
        <w:rPr>
          <w:rFonts w:ascii="Arial" w:cs="Arial" w:eastAsia="Arial" w:hAnsi="Arial"/>
          <w:sz w:val="21"/>
          <w:szCs w:val="21"/>
        </w:rPr>
        <w:t xml:space="preserve">From each Expected Move figure (Conservative and Aggressive calculated separately):</w:t>
      </w:r>
    </w:p>
    <w:p>
      <w:pPr>
        <w:spacing w:after="120"/>
      </w:pPr>
      <w:r>
        <w:rPr>
          <w:rFonts w:ascii="Arial" w:cs="Arial" w:eastAsia="Arial" w:hAnsi="Arial"/>
          <w:sz w:val="21"/>
          <w:szCs w:val="21"/>
        </w:rPr>
        <w:t xml:space="preserve">Target (points) = Expected Move × 60%</w:t>
      </w:r>
    </w:p>
    <w:p>
      <w:pPr>
        <w:spacing w:after="120"/>
      </w:pPr>
      <w:r>
        <w:rPr>
          <w:rFonts w:ascii="Arial" w:cs="Arial" w:eastAsia="Arial" w:hAnsi="Arial"/>
          <w:sz w:val="21"/>
          <w:szCs w:val="21"/>
        </w:rPr>
        <w:t xml:space="preserve">Stop-Loss (points) = Expected Move × 30%</w:t>
      </w:r>
    </w:p>
    <w:p>
      <w:pPr>
        <w:spacing w:after="200"/>
      </w:pPr>
    </w:p>
    <w:p>
      <w:pPr>
        <w:spacing w:after="120"/>
      </w:pPr>
      <w:r>
        <w:rPr>
          <w:rFonts w:ascii="Arial" w:cs="Arial" w:eastAsia="Arial" w:hAnsi="Arial"/>
          <w:b/>
          <w:bCs/>
          <w:sz w:val="21"/>
          <w:szCs w:val="21"/>
        </w:rPr>
        <w:t xml:space="preserve">10c. Strike Selection &amp; Effective Delta</w:t>
      </w:r>
    </w:p>
    <w:p>
      <w:pPr>
        <w:spacing w:after="120"/>
      </w:pPr>
      <w:r>
        <w:rPr>
          <w:rFonts w:ascii="Arial" w:cs="Arial" w:eastAsia="Arial" w:hAnsi="Arial"/>
          <w:sz w:val="21"/>
          <w:szCs w:val="21"/>
        </w:rPr>
        <w:t xml:space="preserve">The strike to trade is auto-selected from the same VIX bands as Section 3, each carrying a fixed effective delta used for the premium math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tblHeader/>
        </w:trPr>
        <w:tc>
          <w:tcPr>
            <w:tcW w:type="dxa" w:w="3200"/>
            <w:shd w:fill="D9D9D9" w:val="clear"/>
            <w:tcMar>
              <w:top w:type="dxa" w:w="90"/>
              <w:left w:type="dxa" w:w="120"/>
              <w:bottom w:type="dxa" w:w="90"/>
              <w:right w:type="dxa" w:w="120"/>
            </w:tcMar>
          </w:tcPr>
          <w:p>
            <w:r>
              <w:rPr>
                <w:rFonts w:ascii="Arial" w:cs="Arial" w:eastAsia="Arial" w:hAnsi="Arial"/>
                <w:b/>
                <w:bCs/>
                <w:sz w:val="20"/>
                <w:szCs w:val="20"/>
              </w:rPr>
              <w:t xml:space="preserve">VIX Band</w:t>
            </w:r>
          </w:p>
        </w:tc>
        <w:tc>
          <w:tcPr>
            <w:tcW w:type="dxa" w:w="3000"/>
            <w:shd w:fill="D9D9D9" w:val="clear"/>
            <w:tcMar>
              <w:top w:type="dxa" w:w="90"/>
              <w:left w:type="dxa" w:w="120"/>
              <w:bottom w:type="dxa" w:w="90"/>
              <w:right w:type="dxa" w:w="120"/>
            </w:tcMar>
          </w:tcPr>
          <w:p>
            <w:r>
              <w:rPr>
                <w:rFonts w:ascii="Arial" w:cs="Arial" w:eastAsia="Arial" w:hAnsi="Arial"/>
                <w:b/>
                <w:bCs/>
                <w:sz w:val="20"/>
                <w:szCs w:val="20"/>
              </w:rPr>
              <w:t xml:space="preserve">Strike</w:t>
            </w:r>
          </w:p>
        </w:tc>
        <w:tc>
          <w:tcPr>
            <w:tcW w:type="dxa" w:w="2800"/>
            <w:shd w:fill="D9D9D9" w:val="clear"/>
            <w:tcMar>
              <w:top w:type="dxa" w:w="90"/>
              <w:left w:type="dxa" w:w="120"/>
              <w:bottom w:type="dxa" w:w="90"/>
              <w:right w:type="dxa" w:w="120"/>
            </w:tcMar>
          </w:tcPr>
          <w:p>
            <w:r>
              <w:rPr>
                <w:rFonts w:ascii="Arial" w:cs="Arial" w:eastAsia="Arial" w:hAnsi="Arial"/>
                <w:b/>
                <w:bCs/>
                <w:sz w:val="20"/>
                <w:szCs w:val="20"/>
              </w:rPr>
              <w:t xml:space="preserve">Effective Delta</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Below 14</w:t>
            </w:r>
          </w:p>
        </w:tc>
        <w:tc>
          <w:tcPr>
            <w:tcW w:type="dxa" w:w="3000"/>
            <w:tcMar>
              <w:top w:type="dxa" w:w="90"/>
              <w:left w:type="dxa" w:w="120"/>
              <w:bottom w:type="dxa" w:w="90"/>
              <w:right w:type="dxa" w:w="120"/>
            </w:tcMar>
          </w:tcPr>
          <w:p>
            <w:r>
              <w:rPr>
                <w:rFonts w:ascii="Arial" w:cs="Arial" w:eastAsia="Arial" w:hAnsi="Arial"/>
                <w:b w:val="false"/>
                <w:bCs w:val="false"/>
                <w:sz w:val="20"/>
                <w:szCs w:val="20"/>
              </w:rPr>
              <w:t xml:space="preserve">ATM</w:t>
            </w:r>
          </w:p>
        </w:tc>
        <w:tc>
          <w:tcPr>
            <w:tcW w:type="dxa" w:w="2800"/>
            <w:tcMar>
              <w:top w:type="dxa" w:w="90"/>
              <w:left w:type="dxa" w:w="120"/>
              <w:bottom w:type="dxa" w:w="90"/>
              <w:right w:type="dxa" w:w="120"/>
            </w:tcMar>
          </w:tcPr>
          <w:p>
            <w:r>
              <w:rPr>
                <w:rFonts w:ascii="Arial" w:cs="Arial" w:eastAsia="Arial" w:hAnsi="Arial"/>
                <w:b w:val="false"/>
                <w:bCs w:val="false"/>
                <w:sz w:val="20"/>
                <w:szCs w:val="20"/>
              </w:rPr>
              <w:t xml:space="preserve">0.50</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14 – 18</w:t>
            </w:r>
          </w:p>
        </w:tc>
        <w:tc>
          <w:tcPr>
            <w:tcW w:type="dxa" w:w="3000"/>
            <w:tcMar>
              <w:top w:type="dxa" w:w="90"/>
              <w:left w:type="dxa" w:w="120"/>
              <w:bottom w:type="dxa" w:w="90"/>
              <w:right w:type="dxa" w:w="120"/>
            </w:tcMar>
          </w:tcPr>
          <w:p>
            <w:r>
              <w:rPr>
                <w:rFonts w:ascii="Arial" w:cs="Arial" w:eastAsia="Arial" w:hAnsi="Arial"/>
                <w:b w:val="false"/>
                <w:bCs w:val="false"/>
                <w:sz w:val="20"/>
                <w:szCs w:val="20"/>
              </w:rPr>
              <w:t xml:space="preserve">ITM1 (1-strike ITM)</w:t>
            </w:r>
          </w:p>
        </w:tc>
        <w:tc>
          <w:tcPr>
            <w:tcW w:type="dxa" w:w="2800"/>
            <w:tcMar>
              <w:top w:type="dxa" w:w="90"/>
              <w:left w:type="dxa" w:w="120"/>
              <w:bottom w:type="dxa" w:w="90"/>
              <w:right w:type="dxa" w:w="120"/>
            </w:tcMar>
          </w:tcPr>
          <w:p>
            <w:r>
              <w:rPr>
                <w:rFonts w:ascii="Arial" w:cs="Arial" w:eastAsia="Arial" w:hAnsi="Arial"/>
                <w:b w:val="false"/>
                <w:bCs w:val="false"/>
                <w:sz w:val="20"/>
                <w:szCs w:val="20"/>
              </w:rPr>
              <w:t xml:space="preserve">0.62</w:t>
            </w:r>
          </w:p>
        </w:tc>
      </w:tr>
      <w:tr>
        <w:trPr>
          <w:tblHeader w:val="false"/>
        </w:trPr>
        <w:tc>
          <w:tcPr>
            <w:tcW w:type="dxa" w:w="3200"/>
            <w:tcMar>
              <w:top w:type="dxa" w:w="90"/>
              <w:left w:type="dxa" w:w="120"/>
              <w:bottom w:type="dxa" w:w="90"/>
              <w:right w:type="dxa" w:w="120"/>
            </w:tcMar>
          </w:tcPr>
          <w:p>
            <w:r>
              <w:rPr>
                <w:rFonts w:ascii="Arial" w:cs="Arial" w:eastAsia="Arial" w:hAnsi="Arial"/>
                <w:b w:val="false"/>
                <w:bCs w:val="false"/>
                <w:sz w:val="20"/>
                <w:szCs w:val="20"/>
              </w:rPr>
              <w:t xml:space="preserve">18 and above</w:t>
            </w:r>
          </w:p>
        </w:tc>
        <w:tc>
          <w:tcPr>
            <w:tcW w:type="dxa" w:w="3000"/>
            <w:tcMar>
              <w:top w:type="dxa" w:w="90"/>
              <w:left w:type="dxa" w:w="120"/>
              <w:bottom w:type="dxa" w:w="90"/>
              <w:right w:type="dxa" w:w="120"/>
            </w:tcMar>
          </w:tcPr>
          <w:p>
            <w:r>
              <w:rPr>
                <w:rFonts w:ascii="Arial" w:cs="Arial" w:eastAsia="Arial" w:hAnsi="Arial"/>
                <w:b w:val="false"/>
                <w:bCs w:val="false"/>
                <w:sz w:val="20"/>
                <w:szCs w:val="20"/>
              </w:rPr>
              <w:t xml:space="preserve">ITM2 (2-strike ITM)</w:t>
            </w:r>
          </w:p>
        </w:tc>
        <w:tc>
          <w:tcPr>
            <w:tcW w:type="dxa" w:w="2800"/>
            <w:tcMar>
              <w:top w:type="dxa" w:w="90"/>
              <w:left w:type="dxa" w:w="120"/>
              <w:bottom w:type="dxa" w:w="90"/>
              <w:right w:type="dxa" w:w="120"/>
            </w:tcMar>
          </w:tcPr>
          <w:p>
            <w:r>
              <w:rPr>
                <w:rFonts w:ascii="Arial" w:cs="Arial" w:eastAsia="Arial" w:hAnsi="Arial"/>
                <w:b w:val="false"/>
                <w:bCs w:val="false"/>
                <w:sz w:val="20"/>
                <w:szCs w:val="20"/>
              </w:rPr>
              <w:t xml:space="preserve">0.72</w:t>
            </w:r>
          </w:p>
        </w:tc>
      </w:tr>
    </w:tbl>
    <w:p>
      <w:pPr>
        <w:spacing w:after="200"/>
      </w:pPr>
    </w:p>
    <w:p>
      <w:pPr>
        <w:spacing w:after="120"/>
      </w:pPr>
      <w:r>
        <w:rPr>
          <w:rFonts w:ascii="Arial" w:cs="Arial" w:eastAsia="Arial" w:hAnsi="Arial"/>
          <w:b/>
          <w:bCs/>
          <w:sz w:val="21"/>
          <w:szCs w:val="21"/>
        </w:rPr>
        <w:t xml:space="preserve">10d. Naked Option Target / Stop-Loss (premium)</w:t>
      </w:r>
    </w:p>
    <w:p>
      <w:pPr>
        <w:spacing w:after="120"/>
      </w:pPr>
      <w:r>
        <w:rPr>
          <w:rFonts w:ascii="Arial" w:cs="Arial" w:eastAsia="Arial" w:hAnsi="Arial"/>
          <w:sz w:val="21"/>
          <w:szCs w:val="21"/>
        </w:rPr>
        <w:t xml:space="preserve">For naked option trades, the points-based Target/SL from 10b is converted to a premium move using the effective delta from 10c:</w:t>
      </w:r>
    </w:p>
    <w:p>
      <w:pPr>
        <w:spacing w:after="120"/>
      </w:pPr>
      <w:r>
        <w:rPr>
          <w:rFonts w:ascii="Arial" w:cs="Arial" w:eastAsia="Arial" w:hAnsi="Arial"/>
          <w:sz w:val="21"/>
          <w:szCs w:val="21"/>
        </w:rPr>
        <w:t xml:space="preserve">Naked Option Target (premium) = Target (points) × Effective Delta</w:t>
      </w:r>
    </w:p>
    <w:p>
      <w:pPr>
        <w:spacing w:after="120"/>
      </w:pPr>
      <w:r>
        <w:rPr>
          <w:rFonts w:ascii="Arial" w:cs="Arial" w:eastAsia="Arial" w:hAnsi="Arial"/>
          <w:sz w:val="21"/>
          <w:szCs w:val="21"/>
        </w:rPr>
        <w:t xml:space="preserve">Naked Option Stop-Loss (premium) = Stop-Loss (points) × Effective Delta</w:t>
      </w:r>
    </w:p>
    <w:p>
      <w:pPr>
        <w:spacing w:after="200"/>
      </w:pPr>
    </w:p>
    <w:p>
      <w:pPr>
        <w:spacing w:after="120"/>
      </w:pPr>
      <w:r>
        <w:rPr>
          <w:rFonts w:ascii="Arial" w:cs="Arial" w:eastAsia="Arial" w:hAnsi="Arial"/>
          <w:b/>
          <w:bCs/>
          <w:sz w:val="21"/>
          <w:szCs w:val="21"/>
        </w:rPr>
        <w:t xml:space="preserve">10e. Spread Structure &amp; Premium (Fixed Hedge)</w:t>
      </w:r>
    </w:p>
    <w:p>
      <w:pPr>
        <w:spacing w:after="120"/>
      </w:pPr>
      <w:r>
        <w:rPr>
          <w:rFonts w:ascii="Arial" w:cs="Arial" w:eastAsia="Arial" w:hAnsi="Arial"/>
          <w:sz w:val="21"/>
          <w:szCs w:val="21"/>
        </w:rPr>
        <w:t xml:space="preserve">For spread trades (Debit Call/Put Spread or Credit Spread), Hedge Width has a standing default per instrument: NIFTY 200 points, SENSEX 400 points. Lot Size and Net Premium (total ₹ paid or received for the full position) remain entered per position.</w:t>
      </w:r>
    </w:p>
    <w:p>
      <w:pPr>
        <w:spacing w:after="120"/>
      </w:pPr>
      <w:r>
        <w:rPr>
          <w:rFonts w:ascii="Arial" w:cs="Arial" w:eastAsia="Arial" w:hAnsi="Arial"/>
          <w:sz w:val="21"/>
          <w:szCs w:val="21"/>
        </w:rPr>
        <w:t xml:space="preserve">Realistic capture (%) = Target (points, from 10b) ÷ Hedge Width.</w:t>
      </w:r>
    </w:p>
    <w:p>
      <w:pPr>
        <w:spacing w:after="120"/>
      </w:pPr>
      <w:r>
        <w:rPr>
          <w:rFonts w:ascii="Arial" w:cs="Arial" w:eastAsia="Arial" w:hAnsi="Arial"/>
          <w:sz w:val="21"/>
          <w:szCs w:val="21"/>
        </w:rPr>
        <w:t xml:space="preserve">Debit Spread: Max Profit (₹) = (Hedge Width × Lot Size) − Net Premium. Book Profit at 60% of Max Profit. Book Stop at 40% of Net Premium paid.</w:t>
      </w:r>
    </w:p>
    <w:p>
      <w:pPr>
        <w:spacing w:after="120"/>
      </w:pPr>
      <w:r>
        <w:rPr>
          <w:rFonts w:ascii="Arial" w:cs="Arial" w:eastAsia="Arial" w:hAnsi="Arial"/>
          <w:sz w:val="21"/>
          <w:szCs w:val="21"/>
        </w:rPr>
        <w:t xml:space="preserve">Credit Spread: Max Profit (₹) = Net Premium received. Book Profit at 60% of Net Premium. Book Stop at 50% of Net Premium.</w:t>
      </w:r>
    </w:p>
    <w:p>
      <w:pPr>
        <w:spacing w:after="120"/>
      </w:pPr>
      <w:r>
        <w:rPr>
          <w:rFonts w:ascii="Arial" w:cs="Arial" w:eastAsia="Arial" w:hAnsi="Arial"/>
          <w:sz w:val="21"/>
          <w:szCs w:val="21"/>
        </w:rPr>
        <w:t xml:space="preserve">Not applicable for Iron Condor (4-leg structure, separate treatment) or Naked options (use 10d instead). If Suggested Strategy is No Trade, this section does not apply.</w:t>
      </w:r>
    </w:p>
    <w:p>
      <w:pPr>
        <w:spacing w:after="200"/>
      </w:pPr>
    </w:p>
    <w:p>
      <w:pPr>
        <w:spacing w:after="120"/>
      </w:pPr>
      <w:r>
        <w:rPr>
          <w:rFonts w:ascii="Arial" w:cs="Arial" w:eastAsia="Arial" w:hAnsi="Arial"/>
          <w:i/>
          <w:iCs/>
          <w:sz w:val="21"/>
          <w:szCs w:val="21"/>
        </w:rPr>
        <w:t xml:space="preserve">Note: this section is documentation of the calculation methodology only. Lot Size and Net Premium remain trader-entered values, not automated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2026-08-12T10:40:07.892Z</dcterms:created>
  <dcterms:modified xsi:type="dcterms:W3CDTF">2026-08-12T10:40:07.892Z</dcterms:modified>
</cp:coreProperties>
</file>

<file path=docProps/custom.xml><?xml version="1.0" encoding="utf-8"?>
<Properties xmlns="http://schemas.openxmlformats.org/officeDocument/2006/custom-properties" xmlns:vt="http://schemas.openxmlformats.org/officeDocument/2006/docPropsVTypes"/>
</file>