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Rules Engine — Quick Reference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How premarket signals map to bias, strategy, and risk. Full methodology and worked examples: see detailed reference (separate link).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Gap 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Gap %</w:t>
            </w:r>
          </w:p>
        </w:tc>
        <w:tc>
          <w:tcPr>
            <w:tcW w:type="dxa" w:w="6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&gt;0.75%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Gap Up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0.25% – 0.75%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Gap Up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-0.25% to 0.25%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Flat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-0.75% to -0.25%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Gap Down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&lt;-0.75%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Gap Down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IV vs VIX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6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Within ±2% of VIX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Fairly priced — trade normally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3%+ above VIX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Overpriced premium — move closer to ATM or skip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More than 2% below VIX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Slightly cheap — mildly favorable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VIX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VIX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Guidance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Strike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 11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with caution — small premiums, theta-heavy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ATM only on strong momentum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11–14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— ideal for buying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rule (ATM/ITM by setup)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14–18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Elevated — premiums richer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 1-strike ITM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18–22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— IV crush risk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2-strike ITM only, or skip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Above 22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Avoid fresh option buys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for VIX to normalize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PCR (Put-Call Ratio)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PCR</w:t>
            </w:r>
          </w:p>
        </w:tc>
        <w:tc>
          <w:tcPr>
            <w:tcW w:type="dxa" w:w="6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1.3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Oversold / Bullish bias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 – 1.3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0.8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Overbought / Bearish bias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Max Pain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Spot vs Max Pain</w:t>
            </w:r>
          </w:p>
        </w:tc>
        <w:tc>
          <w:tcPr>
            <w:tcW w:type="dxa" w:w="5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Above by &gt;0.3%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Downward pull likely toward expiry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Within ±0.3%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Pinning likely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 by &gt;0.3%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Upward pull likely toward expiry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Open Interest Change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OI Signal</w:t>
            </w:r>
          </w:p>
        </w:tc>
        <w:tc>
          <w:tcPr>
            <w:tcW w:type="dxa" w:w="5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 = Addition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 strengthening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 = Unwinding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 weakening — breakdown risk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Resistance = Addition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Resistance strengthening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Resistance = Unwinding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Resistance weakening — breakout risk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Days to Expiry (DTE)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DTE</w:t>
            </w:r>
          </w:p>
        </w:tc>
        <w:tc>
          <w:tcPr>
            <w:tcW w:type="dxa" w:w="6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≤ 1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gamma risk — prefer spreads over naked options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– 4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4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gamma risk — naked options viable if conviction high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Event Today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 Tier</w:t>
            </w:r>
          </w:p>
        </w:tc>
        <w:tc>
          <w:tcPr>
            <w:tcW w:type="dxa" w:w="6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event name/time. Strategy overridden to Trade with Caution.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event name/time as a tag. No strategy override.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event name/time as a tag. No strategy override.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message.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Strategy Selection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5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Trend + High IV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Debit Spread (Call or Put per bias)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Range + High IV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 Spread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Trend + Low/Fair IV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Naked Option (Call or Put per bias)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Range + Low/Fair IV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Iron Condor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+ DTE ≤ 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Force Spread / Iron Condor (overrides naked)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High-impact Event Today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with Caution (overrides all else)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Note: "Trend" vs "Range" classification is not yet formally defined in the source data — see detailed reference.</w:t>
      </w:r>
    </w:p>
    <w:p>
      <w:pPr>
        <w:spacing w:after="140"/>
      </w:pPr>
    </w:p>
    <w:p>
      <w:pPr>
        <w:pStyle w:val="Heading2"/>
        <w:spacing w:after="120" w:before="260"/>
      </w:pPr>
      <w:r>
        <w:t xml:space="preserve">Expected Move &amp; Target / Stop-Loss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Expected Move = tighter of (ATM Straddle Price ÷ √DTE) and 5-Day Average Move — Conservative uses the smaller, Aggressive the larger.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Target = Expected Move × 60%. Stop-Loss = Expected Move × 30%.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VIX Band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Strike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Effective Delta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 14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ATM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– 18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ITM1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0.62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 and above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ITM2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Naked options: Target/SL premium = Target/SL points × Effective Delta.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Spreads (fixed hedge default: NIFTY 200 pts, SENSEX 400 pts): Debit Spread max profit = (Hedge Width × Lot Size) − Net Premium, book profit at 60%, book stop at 40% of premium paid. Credit Spread max profit = Net Premium received, book profit at 60%, book stop at 50%.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Full worked formulas, edge cases, and rationale: see the detailed Rules Engine reference (linked separately).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2026-08-12T10:34:15.716Z</dcterms:created>
  <dcterms:modified xsi:type="dcterms:W3CDTF">2026-08-12T10:34:15.716Z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