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ghunvsi4d14t" w:id="0"/>
      <w:bookmarkEnd w:id="0"/>
      <w:r w:rsidDel="00000000" w:rsidR="00000000" w:rsidRPr="00000000">
        <w:rPr>
          <w:b w:val="1"/>
          <w:bCs w:val="1"/>
          <w:color w:val="000000"/>
          <w:sz w:val="26"/>
          <w:szCs w:val="26"/>
          <w:rtl w:val="0"/>
        </w:rPr>
        <w:t xml:space="preserve">Milestone 3 (Weeks 5–6) – Welfare &amp; Budget Management</w:t>
      </w:r>
    </w:p>
    <w:p w:rsidR="00000000" w:rsidDel="00000000" w:rsidP="00000000" w:rsidRDefault="00000000" w:rsidRPr="00000000" w14:paraId="00000002">
      <w:pPr>
        <w:spacing w:after="240" w:before="240" w:lineRule="auto"/>
        <w:rPr/>
      </w:pPr>
      <w:r w:rsidDel="00000000" w:rsidR="00000000" w:rsidRPr="00000000">
        <w:rPr>
          <w:rtl w:val="0"/>
        </w:rPr>
        <w:t xml:space="preserve">Milestone 3 introduces a comprehensive Welfare and Budget Management system that enables government departments to efficiently manage welfare schemes, beneficiaries, fund allocation, and budget utilization. The primary objective of this milestone is to ensure transparency, accountability, and efficient distribution of public funds while providing citizens with timely access to government benefits. The platform digitizes the complete lifecycle of welfare schemes, from scheme creation and beneficiary registration to fund disbursement and utilization monitoring.</w:t>
      </w:r>
    </w:p>
    <w:p w:rsidR="00000000" w:rsidDel="00000000" w:rsidP="00000000" w:rsidRDefault="00000000" w:rsidRPr="00000000" w14:paraId="00000003">
      <w:pPr>
        <w:spacing w:after="240" w:before="240" w:lineRule="auto"/>
        <w:rPr/>
      </w:pPr>
      <w:r w:rsidDel="00000000" w:rsidR="00000000" w:rsidRPr="00000000">
        <w:rPr>
          <w:rtl w:val="0"/>
        </w:rPr>
        <w:t xml:space="preserve">The Welfare Service module allows administrators to create and manage multiple government schemes such as housing assistance, education support, healthcare benefits, pension programs, and subsidy initiatives. Citizens can apply for schemes through the platform, where their eligibility is automatically verified based on predefined criteria such as income level, age, location, family status, and supporting documentation. Once verified, beneficiaries are enrolled into the respective schemes and become eligible for fund distribution. The system maintains complete beneficiary profiles, ensuring accurate record keeping and preventing duplicate or fraudulent registrations.</w:t>
      </w:r>
    </w:p>
    <w:p w:rsidR="00000000" w:rsidDel="00000000" w:rsidP="00000000" w:rsidRDefault="00000000" w:rsidRPr="00000000" w14:paraId="00000004">
      <w:pPr>
        <w:spacing w:after="240" w:before="240" w:lineRule="auto"/>
        <w:rPr/>
      </w:pPr>
      <w:r w:rsidDel="00000000" w:rsidR="00000000" w:rsidRPr="00000000">
        <w:rPr>
          <w:rtl w:val="0"/>
        </w:rPr>
        <w:t xml:space="preserve">The Budget Service module provides departments with tools to allocate, monitor, and control financial resources. Government officials can define annual or quarterly budgets, allocate funds to specific welfare programs, track expenditures, and monitor remaining balances. The platform continuously calculates budget utilization percentages and generates alerts when spending approaches predefined thresholds. This helps departments maintain financial discipline and avoid budget overruns while ensuring adequate funding for critical citizen services.</w:t>
      </w:r>
    </w:p>
    <w:p w:rsidR="00000000" w:rsidDel="00000000" w:rsidP="00000000" w:rsidRDefault="00000000" w:rsidRPr="00000000" w14:paraId="00000005">
      <w:pPr>
        <w:spacing w:after="240" w:before="240" w:lineRule="auto"/>
        <w:rPr/>
      </w:pPr>
      <w:r w:rsidDel="00000000" w:rsidR="00000000" w:rsidRPr="00000000">
        <w:rPr>
          <w:rtl w:val="0"/>
        </w:rPr>
        <w:t xml:space="preserve">Fund Distribution functionality automates the disbursement process by tracking approved beneficiaries and transferring allocated benefits through the appropriate channels. Every transaction is recorded with timestamps, beneficiary information, scheme details, approval records, and payment status. This creates a complete audit trail that improves transparency and simplifies compliance reporting. Government officers can view detailed reports on distributed funds, pending payments, rejected applications, and overall scheme performance.</w:t>
      </w:r>
    </w:p>
    <w:p w:rsidR="00000000" w:rsidDel="00000000" w:rsidP="00000000" w:rsidRDefault="00000000" w:rsidRPr="00000000" w14:paraId="00000006">
      <w:pPr>
        <w:spacing w:after="240" w:before="240" w:lineRule="auto"/>
        <w:rPr/>
      </w:pPr>
      <w:r w:rsidDel="00000000" w:rsidR="00000000" w:rsidRPr="00000000">
        <w:rPr>
          <w:rtl w:val="0"/>
        </w:rPr>
        <w:t xml:space="preserve">The milestone also includes advanced reporting and monitoring capabilities. Decision-makers can access dashboards displaying total beneficiaries, allocated budgets, disbursed funds, utilization rates, and departmental performance metrics. Real-time analytics help identify underutilized budgets, high-performing schemes, and areas requiring intervention. Compliance monitoring ensures that all fund allocations and expenditures follow government regulations and auditing standards. Validation screens verify beneficiary eligibility, fund distribution accuracy, budget tracking, utilization monitoring, and compliance checks before any critical operation is completed.</w:t>
      </w:r>
    </w:p>
    <w:p w:rsidR="00000000" w:rsidDel="00000000" w:rsidP="00000000" w:rsidRDefault="00000000" w:rsidRPr="00000000" w14:paraId="00000007">
      <w:pPr>
        <w:spacing w:after="240" w:before="240" w:lineRule="auto"/>
        <w:rPr/>
      </w:pPr>
      <w:r w:rsidDel="00000000" w:rsidR="00000000" w:rsidRPr="00000000">
        <w:rPr>
          <w:rtl w:val="0"/>
        </w:rPr>
        <w:t xml:space="preserve">By the end of Milestone 3, CivicPulse Nexus will be capable of managing approximately 247,000 beneficiaries, disbursing over $24.7 million in welfare funds, and maintaining an 87% budget utilization rate. The system will provide government agencies with a centralized platform for welfare administration, financial management, and transparent governance, significantly improving operational efficiency and citizen satisfaction.</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bx01kvw4428g" w:id="1"/>
      <w:bookmarkEnd w:id="1"/>
      <w:r w:rsidDel="00000000" w:rsidR="00000000" w:rsidRPr="00000000">
        <w:rPr>
          <w:b w:val="1"/>
          <w:bCs w:val="1"/>
          <w:color w:val="000000"/>
          <w:sz w:val="26"/>
          <w:szCs w:val="26"/>
          <w:rtl w:val="0"/>
        </w:rPr>
        <w:t xml:space="preserve">Key Deliverables</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rtl w:val="0"/>
        </w:rPr>
        <w:t xml:space="preserve">Welfare Scheme Management System</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Beneficiary Registration &amp; Eligibility Verification</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Budget Planning and Allocation Module</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Fund Distribution and Payment Tracking</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Expense Management System</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Budget Utilization Dashboard</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Compliance and Audit Monitoring</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Welfare Analytics and Reporting Dashboard</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Real-Time Beneficiary and Financial Tracking</w:t>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rtl w:val="0"/>
        </w:rPr>
        <w:t xml:space="preserve">Department Performance Monitoring</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lven6dyyavaf" w:id="2"/>
      <w:bookmarkEnd w:id="2"/>
      <w:r w:rsidDel="00000000" w:rsidR="00000000" w:rsidRPr="00000000">
        <w:rPr>
          <w:b w:val="1"/>
          <w:bCs w:val="1"/>
          <w:color w:val="000000"/>
          <w:sz w:val="26"/>
          <w:szCs w:val="26"/>
          <w:rtl w:val="0"/>
        </w:rPr>
        <w:t xml:space="preserve">Business Value</w:t>
      </w:r>
    </w:p>
    <w:p w:rsidR="00000000" w:rsidDel="00000000" w:rsidP="00000000" w:rsidRDefault="00000000" w:rsidRPr="00000000" w14:paraId="00000014">
      <w:pPr>
        <w:numPr>
          <w:ilvl w:val="0"/>
          <w:numId w:val="2"/>
        </w:numPr>
        <w:spacing w:after="0" w:afterAutospacing="0" w:before="240" w:lineRule="auto"/>
        <w:ind w:left="720" w:hanging="360"/>
      </w:pPr>
      <w:r w:rsidDel="00000000" w:rsidR="00000000" w:rsidRPr="00000000">
        <w:rPr>
          <w:rtl w:val="0"/>
        </w:rPr>
        <w:t xml:space="preserve">Increased transparency in public fund utilization</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Faster and more accurate welfare distribution</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tl w:val="0"/>
        </w:rPr>
        <w:t xml:space="preserve">Reduced fraud and duplicate beneficiary registrations</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Improved budget planning and expenditure control</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tl w:val="0"/>
        </w:rPr>
        <w:t xml:space="preserve">Better compliance with government regulations</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rtl w:val="0"/>
        </w:rPr>
        <w:t xml:space="preserve">Enhanced citizen trust through accountable governance</w:t>
      </w:r>
    </w:p>
    <w:p w:rsidR="00000000" w:rsidDel="00000000" w:rsidP="00000000" w:rsidRDefault="00000000" w:rsidRPr="00000000" w14:paraId="0000001A">
      <w:pPr>
        <w:numPr>
          <w:ilvl w:val="0"/>
          <w:numId w:val="2"/>
        </w:numPr>
        <w:spacing w:after="240" w:before="0" w:beforeAutospacing="0" w:lineRule="auto"/>
        <w:ind w:left="720" w:hanging="360"/>
      </w:pPr>
      <w:r w:rsidDel="00000000" w:rsidR="00000000" w:rsidRPr="00000000">
        <w:rPr>
          <w:rtl w:val="0"/>
        </w:rPr>
        <w:t xml:space="preserve">Data-driven decision-making using real-time analytics</w:t>
      </w:r>
    </w:p>
    <w:p w:rsidR="00000000" w:rsidDel="00000000" w:rsidP="00000000" w:rsidRDefault="00000000" w:rsidRPr="00000000" w14:paraId="0000001B">
      <w:pPr>
        <w:rPr/>
      </w:pPr>
      <w:r w:rsidDel="00000000" w:rsidR="00000000" w:rsidRPr="00000000">
        <w:rPr/>
        <w:drawing>
          <wp:inline distB="114300" distT="114300" distL="114300" distR="114300">
            <wp:extent cx="5943600" cy="396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