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1622A" w14:textId="7BAED81F" w:rsidR="000D79DA" w:rsidRDefault="00DB2DAC">
      <w:r>
        <w:t>Comments on Chap 2, Section 2.5 (pp. 63-71)</w:t>
      </w:r>
    </w:p>
    <w:p w14:paraId="7DA6099B" w14:textId="65CB7252" w:rsidR="00DB2DAC" w:rsidRDefault="00DB2DAC"/>
    <w:p w14:paraId="48EDAD19" w14:textId="3A9DE156" w:rsidR="00DB2DAC" w:rsidRDefault="00DB2DAC">
      <w:r w:rsidRPr="00DB2DAC">
        <w:rPr>
          <w:noProof/>
        </w:rPr>
        <w:drawing>
          <wp:inline distT="0" distB="0" distL="0" distR="0" wp14:anchorId="417E13C3" wp14:editId="7E847588">
            <wp:extent cx="5943600" cy="1634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6EB1" w14:textId="74708CC1" w:rsidR="00DB2DAC" w:rsidRDefault="00DB2DAC"/>
    <w:p w14:paraId="1CD4ACAB" w14:textId="4B12BC8B" w:rsidR="00DB2DAC" w:rsidRDefault="00DB2DAC">
      <w:r>
        <w:t xml:space="preserve">I think you should use one term for P throughout. If you are following </w:t>
      </w:r>
      <w:proofErr w:type="spellStart"/>
      <w:r>
        <w:t>Condoravdi</w:t>
      </w:r>
      <w:proofErr w:type="spellEnd"/>
      <w:r>
        <w:t>, then maybe what she uses – P is a predicate of eventualities or it is saturated eventuality? Any adjust appropriately.</w:t>
      </w:r>
    </w:p>
    <w:p w14:paraId="28D7ECB3" w14:textId="7EA05E73" w:rsidR="00DB2DAC" w:rsidRDefault="00DB2DAC"/>
    <w:p w14:paraId="3E7148EF" w14:textId="62108C4F" w:rsidR="00DB2DAC" w:rsidRDefault="00DB2DAC">
      <w:r>
        <w:t xml:space="preserve">Re binding of t’ – I don’t think there is any harm in </w:t>
      </w:r>
      <w:r>
        <w:rPr>
          <w:rFonts w:ascii="Cambria Math" w:hAnsi="Cambria Math"/>
        </w:rPr>
        <w:t>∃</w:t>
      </w:r>
      <w:r>
        <w:t>-binding it. I suppose it depends on the intuition. Is it contextually fixed? Or does it feel more quantificational – at some point or other not too far in the future from t-r… You could also just footnote that you are leaving it open which is the better option.</w:t>
      </w:r>
    </w:p>
    <w:p w14:paraId="2FE39D66" w14:textId="4A1A1EB5" w:rsidR="00DB2DAC" w:rsidRDefault="00DB2DAC"/>
    <w:p w14:paraId="6718D89F" w14:textId="1203900C" w:rsidR="00DB2DAC" w:rsidRDefault="00DB2DAC">
      <w:r>
        <w:t>P</w:t>
      </w:r>
      <w:r w:rsidR="006E144F">
        <w:t>p</w:t>
      </w:r>
      <w:r>
        <w:t>. 66</w:t>
      </w:r>
      <w:r w:rsidR="006E144F">
        <w:t>-67</w:t>
      </w:r>
    </w:p>
    <w:p w14:paraId="7F79786B" w14:textId="443BE9E8" w:rsidR="00DB2DAC" w:rsidRDefault="00DB2DAC">
      <w:r w:rsidRPr="00DB2DAC">
        <w:rPr>
          <w:noProof/>
        </w:rPr>
        <w:drawing>
          <wp:inline distT="0" distB="0" distL="0" distR="0" wp14:anchorId="7FFF85F9" wp14:editId="445F336B">
            <wp:extent cx="57054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4ECF" w14:textId="48C8D192" w:rsidR="00DB2DAC" w:rsidRDefault="00DB2DAC"/>
    <w:p w14:paraId="5B1CA21B" w14:textId="1614F4AC" w:rsidR="00DB2DAC" w:rsidRDefault="00DB2DAC">
      <w:r w:rsidRPr="00DB2DAC">
        <w:rPr>
          <w:noProof/>
        </w:rPr>
        <w:lastRenderedPageBreak/>
        <w:drawing>
          <wp:inline distT="0" distB="0" distL="0" distR="0" wp14:anchorId="10841CFB" wp14:editId="52AB70D8">
            <wp:extent cx="5943600" cy="5538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3B08" w14:textId="47EC29B4" w:rsidR="00DB2DAC" w:rsidRDefault="00DB2DAC"/>
    <w:p w14:paraId="4A08C185" w14:textId="46C30444" w:rsidR="00DB2DAC" w:rsidRDefault="00DB2DAC">
      <w:r>
        <w:t xml:space="preserve">I have a few questions/comments on this part. </w:t>
      </w:r>
      <w:proofErr w:type="gramStart"/>
      <w:r>
        <w:t>First</w:t>
      </w:r>
      <w:proofErr w:type="gramEnd"/>
      <w:r>
        <w:t xml:space="preserve"> I think t’ in 129b (defined only if t’ &lt; t*) I think you mean t.</w:t>
      </w:r>
    </w:p>
    <w:p w14:paraId="50C0C824" w14:textId="75A825AB" w:rsidR="00DB2DAC" w:rsidRPr="00916EF4" w:rsidRDefault="00DB2DAC">
      <w:pPr>
        <w:rPr>
          <w:strike/>
        </w:rPr>
      </w:pPr>
      <w:r w:rsidRPr="00916EF4">
        <w:rPr>
          <w:strike/>
        </w:rPr>
        <w:t xml:space="preserve">I’m not sure why you have </w:t>
      </w:r>
      <w:proofErr w:type="spellStart"/>
      <w:r w:rsidRPr="00916EF4">
        <w:rPr>
          <w:strike/>
        </w:rPr>
        <w:t>subseqInst</w:t>
      </w:r>
      <w:proofErr w:type="spellEnd"/>
      <w:r w:rsidRPr="00916EF4">
        <w:rPr>
          <w:strike/>
        </w:rPr>
        <w:t xml:space="preserve"> in (129 d) instead of what you have in (127)</w:t>
      </w:r>
      <w:r w:rsidR="006E144F" w:rsidRPr="00916EF4">
        <w:rPr>
          <w:strike/>
        </w:rPr>
        <w:t xml:space="preserve">, </w:t>
      </w:r>
      <w:proofErr w:type="spellStart"/>
      <w:r w:rsidR="006E144F" w:rsidRPr="00916EF4">
        <w:rPr>
          <w:strike/>
        </w:rPr>
        <w:t>ie</w:t>
      </w:r>
      <w:proofErr w:type="spellEnd"/>
      <w:r w:rsidR="006E144F" w:rsidRPr="00916EF4">
        <w:rPr>
          <w:strike/>
        </w:rPr>
        <w:t xml:space="preserve"> </w:t>
      </w:r>
      <w:proofErr w:type="spellStart"/>
      <w:r w:rsidR="006E144F" w:rsidRPr="00916EF4">
        <w:rPr>
          <w:strike/>
        </w:rPr>
        <w:t>Subseq</w:t>
      </w:r>
      <w:proofErr w:type="spellEnd"/>
      <w:r w:rsidR="006E144F" w:rsidRPr="00916EF4">
        <w:rPr>
          <w:strike/>
        </w:rPr>
        <w:t>.</w:t>
      </w:r>
    </w:p>
    <w:p w14:paraId="073560BE" w14:textId="77777777" w:rsidR="006E144F" w:rsidRDefault="00DB2DAC">
      <w:r>
        <w:t xml:space="preserve">Also, perhaps you want to change the order of the lambda’s, with </w:t>
      </w:r>
      <w:proofErr w:type="spellStart"/>
      <w:r>
        <w:rPr>
          <w:rFonts w:ascii="Cambria Math" w:hAnsi="Cambria Math"/>
        </w:rPr>
        <w:t>λ</w:t>
      </w:r>
      <w:r>
        <w:t>P</w:t>
      </w:r>
      <w:proofErr w:type="spellEnd"/>
      <w:r>
        <w:t xml:space="preserve"> outermost if you are going to feed in </w:t>
      </w:r>
      <w:r w:rsidR="006E144F">
        <w:t xml:space="preserve">“he </w:t>
      </w:r>
      <w:proofErr w:type="gramStart"/>
      <w:r w:rsidR="006E144F">
        <w:t>cook</w:t>
      </w:r>
      <w:proofErr w:type="gramEnd"/>
      <w:r w:rsidR="006E144F">
        <w:t xml:space="preserve"> dinner” first, as you do in (129d). </w:t>
      </w:r>
    </w:p>
    <w:p w14:paraId="6290D4A7" w14:textId="645084F2" w:rsidR="00DB2DAC" w:rsidRDefault="006E144F">
      <w:r>
        <w:t xml:space="preserve">I couldn’t read your comment/question on the left. I assume that the first sentence sets the t-r at which the </w:t>
      </w:r>
      <w:proofErr w:type="spellStart"/>
      <w:r>
        <w:t>bambai</w:t>
      </w:r>
      <w:proofErr w:type="spellEnd"/>
      <w:r>
        <w:t xml:space="preserve"> sentence is interpreted. </w:t>
      </w:r>
      <w:proofErr w:type="gramStart"/>
      <w:r>
        <w:t>So</w:t>
      </w:r>
      <w:proofErr w:type="gramEnd"/>
      <w:r>
        <w:t xml:space="preserve"> I’m not sure what the problem is.</w:t>
      </w:r>
      <w:r w:rsidR="00DB2DAC">
        <w:t xml:space="preserve"> </w:t>
      </w:r>
    </w:p>
    <w:p w14:paraId="00091EA5" w14:textId="78E9548A" w:rsidR="006E144F" w:rsidRDefault="006E144F"/>
    <w:p w14:paraId="2A5D1F9B" w14:textId="15BF65D5" w:rsidR="006E144F" w:rsidRDefault="006E144F">
      <w:r>
        <w:t>pp. 68-69</w:t>
      </w:r>
    </w:p>
    <w:p w14:paraId="6AB25B64" w14:textId="02E6CEDE" w:rsidR="002D71B6" w:rsidRDefault="007467A9">
      <w:r>
        <w:lastRenderedPageBreak/>
        <w:t>(131</w:t>
      </w:r>
      <w:proofErr w:type="gramStart"/>
      <w:r>
        <w:t>b)-(</w:t>
      </w:r>
      <w:proofErr w:type="gramEnd"/>
      <w:r>
        <w:t>131c) you need to add the subj argument.</w:t>
      </w:r>
    </w:p>
    <w:p w14:paraId="6B9AD29E" w14:textId="2D8EEB8B" w:rsidR="007467A9" w:rsidRDefault="007467A9"/>
    <w:p w14:paraId="5EEEEC84" w14:textId="0B22B0E5" w:rsidR="007467A9" w:rsidRDefault="007467A9">
      <w:r>
        <w:t xml:space="preserve">(131d) – same appoint as in the earlier section about having </w:t>
      </w:r>
      <w:proofErr w:type="spellStart"/>
      <w:r>
        <w:rPr>
          <w:rFonts w:ascii="Cambria Math" w:hAnsi="Cambria Math"/>
        </w:rPr>
        <w:t>λ</w:t>
      </w:r>
      <w:r>
        <w:t>P</w:t>
      </w:r>
      <w:proofErr w:type="spellEnd"/>
      <w:r>
        <w:t xml:space="preserve"> on the outside and about </w:t>
      </w:r>
      <w:proofErr w:type="spellStart"/>
      <w:r>
        <w:t>subseq</w:t>
      </w:r>
      <w:proofErr w:type="spellEnd"/>
      <w:r>
        <w:t>/</w:t>
      </w:r>
      <w:proofErr w:type="spellStart"/>
      <w:r>
        <w:t>subseqinst</w:t>
      </w:r>
      <w:proofErr w:type="spellEnd"/>
      <w:r>
        <w:t xml:space="preserve"> except that this time it is right there in (131d). I’m guessing you switched at some point and this may be just a residue effect.</w:t>
      </w:r>
    </w:p>
    <w:p w14:paraId="4CE8F3B1" w14:textId="1FD9B77A" w:rsidR="007467A9" w:rsidRDefault="007467A9"/>
    <w:p w14:paraId="4B058652" w14:textId="6D7D6268" w:rsidR="006E144F" w:rsidRDefault="007467A9">
      <w:r>
        <w:t xml:space="preserve">Your question in the left margin – I am a bit confused about your t </w:t>
      </w:r>
      <w:proofErr w:type="gramStart"/>
      <w:r>
        <w:t>variable</w:t>
      </w:r>
      <w:r w:rsidR="0023671C">
        <w:t>s</w:t>
      </w:r>
      <w:r>
        <w:t xml:space="preserve"> </w:t>
      </w:r>
      <w:r w:rsidR="0023671C">
        <w:t xml:space="preserve"> -</w:t>
      </w:r>
      <w:proofErr w:type="gramEnd"/>
      <w:r w:rsidR="0023671C">
        <w:t xml:space="preserve"> t-r, t*, and t’. What gets bound and when needs to be decided. But maybe you can send out the defense draft and then work on this. I think it is clear what you want to say.</w:t>
      </w:r>
    </w:p>
    <w:p w14:paraId="7E350E90" w14:textId="77777777" w:rsidR="0023671C" w:rsidRDefault="0023671C"/>
    <w:p w14:paraId="24E4F1D7" w14:textId="7EE9A449" w:rsidR="006E144F" w:rsidRDefault="006E144F">
      <w:r>
        <w:t xml:space="preserve">Pg. 70 – do you need to move to </w:t>
      </w:r>
      <w:proofErr w:type="spellStart"/>
      <w:r>
        <w:t>bambai’s</w:t>
      </w:r>
      <w:proofErr w:type="spellEnd"/>
      <w:r>
        <w:t xml:space="preserve"> </w:t>
      </w:r>
      <w:proofErr w:type="spellStart"/>
      <w:r>
        <w:t>prejacent</w:t>
      </w:r>
      <w:proofErr w:type="spellEnd"/>
      <w:r>
        <w:t xml:space="preserve"> being a proposition? Intuitively I can see that it doesn’t make much difference whether you talk about propositions or eventualities but switching suggests that there is something more crucial to these choices? Is there?</w:t>
      </w:r>
    </w:p>
    <w:p w14:paraId="5185625A" w14:textId="051AF88E" w:rsidR="006E144F" w:rsidRDefault="006E144F"/>
    <w:p w14:paraId="76BE1B9A" w14:textId="77777777" w:rsidR="006E144F" w:rsidRDefault="006E144F"/>
    <w:sectPr w:rsidR="006E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AC"/>
    <w:rsid w:val="000D79DA"/>
    <w:rsid w:val="0023671C"/>
    <w:rsid w:val="002D5F97"/>
    <w:rsid w:val="002D71B6"/>
    <w:rsid w:val="0050500C"/>
    <w:rsid w:val="006466F7"/>
    <w:rsid w:val="006E144F"/>
    <w:rsid w:val="007467A9"/>
    <w:rsid w:val="00916EF4"/>
    <w:rsid w:val="00C95A5B"/>
    <w:rsid w:val="00DB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AACF"/>
  <w15:chartTrackingRefBased/>
  <w15:docId w15:val="{881BDF64-4849-458A-9399-13A36444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Dayal, Veneeta</dc:creator>
  <cp:keywords/>
  <dc:description/>
  <cp:lastModifiedBy>josh phillips</cp:lastModifiedBy>
  <cp:revision>3</cp:revision>
  <dcterms:created xsi:type="dcterms:W3CDTF">2020-12-29T21:03:00Z</dcterms:created>
  <dcterms:modified xsi:type="dcterms:W3CDTF">2021-02-19T16:05:00Z</dcterms:modified>
</cp:coreProperties>
</file>