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0" w:space="0" w:color="17324D"/>
          <w:left w:val="single" w:sz="0" w:space="0" w:color="17324D"/>
          <w:bottom w:val="single" w:sz="0" w:space="0" w:color="17324D"/>
          <w:right w:val="single" w:sz="0" w:space="0" w:color="17324D"/>
          <w:insideH w:val="single" w:sz="0" w:space="0" w:color="17324D"/>
          <w:insideV w:val="single" w:sz="0" w:space="0" w:color="17324D"/>
        </w:tblBorders>
      </w:tblPr>
      <w:tblGrid>
        <w:gridCol w:w="9360"/>
      </w:tblGrid>
      <w:tr>
        <w:tc>
          <w:tcPr>
            <w:tcW w:type="dxa" w:w="9360"/>
            <w:shd w:fill="17324D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44"/>
              </w:rPr>
              <w:t>中国规范汉字与日本通用字体核验说明</w:t>
            </w:r>
          </w:p>
        </w:tc>
      </w:tr>
      <w:tr>
        <w:tc>
          <w:tcPr>
            <w:tcW w:type="dxa" w:w="9360"/>
            <w:shd w:fill="EAF2F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56626D"/>
                <w:sz w:val="20"/>
              </w:rPr>
              <w:t>编制日期：2026年9月2日｜用途：规范用字筛查、商标初步风险识别及文书表述参考｜版本：v01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结论摘要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E8F3F2"/>
          <w:left w:val="single" w:sz="4" w:space="0" w:color="E8F3F2"/>
          <w:bottom w:val="single" w:sz="4" w:space="0" w:color="E8F3F2"/>
          <w:right w:val="single" w:sz="4" w:space="0" w:color="E8F3F2"/>
          <w:insideH w:val="single" w:sz="4" w:space="0" w:color="E8F3F2"/>
          <w:insideV w:val="single" w:sz="4" w:space="0" w:color="E8F3F2"/>
        </w:tblBorders>
      </w:tblPr>
      <w:tblGrid>
        <w:gridCol w:w="9360"/>
      </w:tblGrid>
      <w:tr>
        <w:tc>
          <w:tcPr>
            <w:tcW w:type="dxa" w:w="9360"/>
            <w:shd w:fill="E8F3F2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b/>
                <w:color w:val="245B78"/>
              </w:rPr>
              <w:t>中国现行规范字表：</w:t>
            </w:r>
            <w:r>
              <w:rPr>
                <w:rFonts w:ascii="Arial Unicode MS" w:hAnsi="Arial Unicode MS" w:eastAsia="Arial Unicode MS"/>
                <w:color w:val="1F2933"/>
              </w:rPr>
              <w:t>2013年《通用规范汉字表》共收录8105字，其中一级字3500字、二级字3000字、三级字1605字。完整名单、级别、码位与筛选字段见配套Excel。</w:t>
            </w:r>
          </w:p>
        </w:tc>
      </w:tr>
    </w:tbl>
    <w:p>
      <w:pPr>
        <w:spacing w:after="120" w:line="264" w:lineRule="auto"/>
      </w:pPr>
      <w:r>
        <w:rPr>
          <w:rFonts w:ascii="Arial Unicode MS" w:hAnsi="Arial Unicode MS" w:eastAsia="Arial Unicode MS"/>
          <w:b/>
          <w:color w:val="245B78"/>
        </w:rPr>
        <w:t>日本对照范围：</w:t>
      </w:r>
      <w:r>
        <w:rPr>
          <w:rFonts w:ascii="Arial Unicode MS" w:hAnsi="Arial Unicode MS" w:eastAsia="Arial Unicode MS"/>
          <w:color w:val="1F2933"/>
        </w:rPr>
        <w:t>日本现行《常用漢字表》收录2136字。机器跨表可得到742个未与中国8105字表同码位重合的候选；其中，依据日本表内“现代通用字体—括注参考字体”关系筛出的系统性重点子集为192字。742字不能整体称为“日本特有字”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FFF5D6"/>
          <w:left w:val="single" w:sz="4" w:space="0" w:color="FFF5D6"/>
          <w:bottom w:val="single" w:sz="4" w:space="0" w:color="FFF5D6"/>
          <w:right w:val="single" w:sz="4" w:space="0" w:color="FFF5D6"/>
          <w:insideH w:val="single" w:sz="4" w:space="0" w:color="FFF5D6"/>
          <w:insideV w:val="single" w:sz="4" w:space="0" w:color="FFF5D6"/>
        </w:tblBorders>
      </w:tblPr>
      <w:tblGrid>
        <w:gridCol w:w="9360"/>
      </w:tblGrid>
      <w:tr>
        <w:tc>
          <w:tcPr>
            <w:tcW w:type="dxa" w:w="9360"/>
            <w:shd w:fill="FFF5D6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b/>
                <w:color w:val="245B78"/>
              </w:rPr>
              <w:t>“嬢”的准确结论：</w:t>
            </w:r>
            <w:r>
              <w:rPr>
                <w:rFonts w:ascii="Arial Unicode MS" w:hAnsi="Arial Unicode MS" w:eastAsia="Arial Unicode MS"/>
                <w:color w:val="1F2933"/>
              </w:rPr>
              <w:t>“嬢”（U+5B22）是日本《常用漢字表》列示的现代通用字体，表内括注参考字体为“孃”（U+5B43）；“嬢”未收入我国现行《通用规范汉字表》。现代汉语表达相应含义时通常结合词义使用规范字“娘”（字表序号2144）。</w:t>
            </w:r>
          </w:p>
        </w:tc>
      </w:tr>
    </w:tbl>
    <w:p>
      <w:pPr>
        <w:spacing w:after="120" w:line="264" w:lineRule="auto"/>
      </w:pPr>
      <w:r>
        <w:rPr>
          <w:rFonts w:ascii="Arial Unicode MS" w:hAnsi="Arial Unicode MS" w:eastAsia="Arial Unicode MS"/>
          <w:b/>
          <w:color w:val="245B78"/>
        </w:rPr>
        <w:t>法律与审查边界：</w:t>
      </w:r>
      <w:r>
        <w:rPr>
          <w:rFonts w:ascii="Arial Unicode MS" w:hAnsi="Arial Unicode MS" w:eastAsia="Arial Unicode MS"/>
          <w:color w:val="1F2933"/>
        </w:rPr>
        <w:t>“未收入字表”是规范用字核验事实，不当然等于该字符在任何语境下一律违法，也不能单凭此事实推导商标当然不得注册。日文内容、外国专名、引文、书法篆刻及艺术化表现等，应结合适用规则和公众认知个案判断。</w:t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一、规范依据与术语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1. 中国规范汉字的名单边界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3"/>
        </w:rPr>
        <w:t>本报告所称“中国规范汉字名单”，以国务院公布、教育部和国家语言文字工作委员会组织实施的《通用规范汉字表》为准。该表的8105字按使用范围和频度分三级；本报告不把Unicode收录、输入法可输入或某字体能够显示等同于“中国规范汉字”。</w:t>
      </w:r>
    </w:p>
    <w:p>
      <w:pPr>
        <w:spacing w:after="120"/>
      </w:pPr>
      <w:r>
        <w:rPr>
          <w:b/>
        </w:rPr>
        <w:t>官方来源：</w:t>
      </w:r>
      <w:hyperlink r:id="rId11">
        <w:r>
          <w:rPr>
            <w:rFonts w:ascii="Arial Unicode MS" w:hAnsi="Arial Unicode MS" w:eastAsia="Arial Unicode MS"/>
            <w:color w:val="245B78"/>
            <w:u w:val="single"/>
          </w:rPr>
          <w:t>教育部《通用规范汉字表》附件页</w:t>
        </w:r>
      </w:hyperlink>
      <w:r>
        <w:t>；</w:t>
      </w:r>
      <w:hyperlink r:id="rId12">
        <w:r>
          <w:rPr>
            <w:rFonts w:ascii="Arial Unicode MS" w:hAnsi="Arial Unicode MS" w:eastAsia="Arial Unicode MS"/>
            <w:color w:val="245B78"/>
            <w:u w:val="single"/>
          </w:rPr>
          <w:t>教育部关于字表基本内容和特点的说明</w:t>
        </w:r>
      </w:hyperlink>
      <w:r>
        <w:t>。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2. “字体”与“字形”的专业区别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3"/>
        </w:rPr>
        <w:t>日本《常用漢字表》说明中的“字体”，指作为文字骨架的抽象构形；“字形”通常指该字体在具体书写、印刷或字体文件中的实现形态。因而，对“嬢”这一类字符，专业文书宜写作“日本《常用漢字表》列示的现代通用字体”，而不宜只写成含义宽泛的“日本汉字字形”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F4F6F8"/>
          <w:left w:val="single" w:sz="4" w:space="0" w:color="F4F6F8"/>
          <w:bottom w:val="single" w:sz="4" w:space="0" w:color="F4F6F8"/>
          <w:right w:val="single" w:sz="4" w:space="0" w:color="F4F6F8"/>
          <w:insideH w:val="single" w:sz="4" w:space="0" w:color="F4F6F8"/>
          <w:insideV w:val="single" w:sz="4" w:space="0" w:color="F4F6F8"/>
        </w:tblBorders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color w:val="1F2933"/>
              </w:rPr>
              <w:t>日本表中括号内字体为参考信息，官方说明将其作为所谓“康熙字典体”等参考字体列示。配套名单据此区分“日本现代通用字体”和“表内括注参考字体”。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二、“嬢”字专项核验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vAlign w:val="center"/>
            <w:shd w:fill="245B7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核验项目</w:t>
            </w:r>
          </w:p>
        </w:tc>
        <w:tc>
          <w:tcPr>
            <w:tcW w:type="dxa" w:w="6760"/>
            <w:vAlign w:val="center"/>
            <w:shd w:fill="245B7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20"/>
              </w:rPr>
              <w:t>目标字符</w:t>
            </w:r>
          </w:p>
        </w:tc>
        <w:tc>
          <w:tcPr>
            <w:tcW w:type="dxa" w:w="676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嬢（U+5B22）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20"/>
              </w:rPr>
              <w:t>日本规范地位</w:t>
            </w:r>
          </w:p>
        </w:tc>
        <w:tc>
          <w:tcPr>
            <w:tcW w:type="dxa" w:w="676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日本《常用漢字表》现代通用字体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20"/>
              </w:rPr>
              <w:t>日本表内参考字体</w:t>
            </w:r>
          </w:p>
        </w:tc>
        <w:tc>
          <w:tcPr>
            <w:tcW w:type="dxa" w:w="676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孃（U+5B43）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20"/>
              </w:rPr>
              <w:t>中国8105字表收录</w:t>
            </w:r>
          </w:p>
        </w:tc>
        <w:tc>
          <w:tcPr>
            <w:tcW w:type="dxa" w:w="6760"/>
            <w:vAlign w:val="center"/>
            <w:shd w:fill="FCE8E6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未收录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17324D"/>
                <w:sz w:val="20"/>
              </w:rPr>
              <w:t>现代汉语对应候选</w:t>
            </w:r>
          </w:p>
        </w:tc>
        <w:tc>
          <w:tcPr>
            <w:tcW w:type="dxa" w:w="6760"/>
            <w:vAlign w:val="center"/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0"/>
              </w:rPr>
              <w:t>娘（U+5A18；《通用规范汉字表》序号2144）</w:t>
            </w:r>
          </w:p>
        </w:tc>
      </w:tr>
    </w:tbl>
    <w:p>
      <w:pPr>
        <w:pStyle w:val="Heading2"/>
        <w:keepNext/>
      </w:pPr>
      <w:r>
        <w:rPr>
          <w:rFonts w:ascii="Arial Unicode MS" w:hAnsi="Arial Unicode MS" w:eastAsia="Arial Unicode MS"/>
        </w:rPr>
        <w:t>推荐表述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FFF5D6"/>
          <w:left w:val="single" w:sz="4" w:space="0" w:color="FFF5D6"/>
          <w:bottom w:val="single" w:sz="4" w:space="0" w:color="FFF5D6"/>
          <w:right w:val="single" w:sz="4" w:space="0" w:color="FFF5D6"/>
          <w:insideH w:val="single" w:sz="4" w:space="0" w:color="FFF5D6"/>
          <w:insideV w:val="single" w:sz="4" w:space="0" w:color="FFF5D6"/>
        </w:tblBorders>
      </w:tblPr>
      <w:tblGrid>
        <w:gridCol w:w="9360"/>
      </w:tblGrid>
      <w:tr>
        <w:tc>
          <w:tcPr>
            <w:tcW w:type="dxa" w:w="9360"/>
            <w:shd w:fill="FFF5D6"/>
          </w:tcPr>
          <w:p>
            <w:pPr>
              <w:spacing w:after="160" w:line="264" w:lineRule="auto"/>
            </w:pPr>
            <w:r>
              <w:rPr>
                <w:rFonts w:ascii="Arial Unicode MS" w:hAnsi="Arial Unicode MS" w:eastAsia="Arial Unicode MS"/>
                <w:color w:val="1F2933"/>
              </w:rPr>
              <w:t>“嬢”为日本《常用漢字表》列示的现代通用字体，该表括注参考字体“孃”；“嬢”未收入我国现行《通用规范汉字表》。在面向社会公众的现代汉语用字中，一般不宜把它当作我国规范汉字使用；表达相应含义时通常应结合词义使用“娘”等我国规范字。日文内容、外国专名、引文及艺术表现等情形应另行判断。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FCE8E6"/>
          <w:left w:val="single" w:sz="4" w:space="0" w:color="FCE8E6"/>
          <w:bottom w:val="single" w:sz="4" w:space="0" w:color="FCE8E6"/>
          <w:right w:val="single" w:sz="4" w:space="0" w:color="FCE8E6"/>
          <w:insideH w:val="single" w:sz="4" w:space="0" w:color="FCE8E6"/>
          <w:insideV w:val="single" w:sz="4" w:space="0" w:color="FCE8E6"/>
        </w:tblBorders>
      </w:tblPr>
      <w:tblGrid>
        <w:gridCol w:w="9360"/>
      </w:tblGrid>
      <w:tr>
        <w:tc>
          <w:tcPr>
            <w:tcW w:type="dxa" w:w="9360"/>
            <w:shd w:fill="FCE8E6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b/>
                <w:color w:val="245B78"/>
              </w:rPr>
              <w:t>不建议写成：</w:t>
            </w:r>
            <w:r>
              <w:rPr>
                <w:rFonts w:ascii="Arial Unicode MS" w:hAnsi="Arial Unicode MS" w:eastAsia="Arial Unicode MS"/>
                <w:color w:val="1F2933"/>
              </w:rPr>
              <w:t>“嬢是日本字，因此在中国绝对禁止使用/必然不能注册商标。”该说法混同了字表事实、社会用字规则与商标个案审查，结论过度。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三、配套名单的三层结构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1450"/>
        <w:gridCol w:w="1450"/>
        <w:gridCol w:w="3160"/>
        <w:gridCol w:w="330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数据层</w:t>
            </w:r>
          </w:p>
        </w:tc>
        <w:tc>
          <w:tcPr>
            <w:tcW w:type="dxa" w:w="14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160"/>
            <w:vAlign w:val="center"/>
            <w:shd w:fill="245B7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00"/>
            <w:vAlign w:val="center"/>
            <w:shd w:fill="245B7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使用提醒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中国规范汉字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8105</w:t>
            </w:r>
          </w:p>
        </w:tc>
        <w:tc>
          <w:tcPr>
            <w:tcW w:type="dxa" w:w="31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现行《通用规范汉字表》完整名单</w:t>
            </w:r>
          </w:p>
        </w:tc>
        <w:tc>
          <w:tcPr>
            <w:tcW w:type="dxa" w:w="33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可按序号、级别、汉字、Unicode码位筛选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日本重点子集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192</w:t>
            </w:r>
          </w:p>
        </w:tc>
        <w:tc>
          <w:tcPr>
            <w:tcW w:type="dxa" w:w="3160"/>
            <w:vAlign w:val="center"/>
            <w:shd w:fill="FFFFF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日本表内有括注参考字体且其现代通用字体未收入中国字表</w:t>
            </w:r>
          </w:p>
        </w:tc>
        <w:tc>
          <w:tcPr>
            <w:tcW w:type="dxa" w:w="3300"/>
            <w:vAlign w:val="center"/>
            <w:shd w:fill="FFFFFF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适合查找“嬢、亜、悪、圧、囲”等同类型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跨表候选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742</w:t>
            </w:r>
          </w:p>
        </w:tc>
        <w:tc>
          <w:tcPr>
            <w:tcW w:type="dxa" w:w="31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日本2136常用字中与中国8105字表不按同码位重合者</w:t>
            </w:r>
          </w:p>
        </w:tc>
        <w:tc>
          <w:tcPr>
            <w:tcW w:type="dxa" w:w="33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混合繁体、旧字体、历史字、日本国字等，不等于日本特有字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四、代表性日本通用字体与中国规范字候选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3"/>
        </w:rPr>
        <w:t>下表列出40个便于检索和文书援引的代表性示例。对应规范字属于字形/异体关系下的优先候选，不应脱离具体词语和语义机械替换；完整192字及742个跨表候选见Excel。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50"/>
        <w:gridCol w:w="1250"/>
        <w:gridCol w:w="1450"/>
        <w:gridCol w:w="1450"/>
        <w:gridCol w:w="4260"/>
      </w:tblGrid>
      <w:tr>
        <w:trPr>
          <w:tblHeader w:val="true"/>
        </w:trPr>
        <w:tc>
          <w:tcPr>
            <w:tcW w:type="dxa" w:w="9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日本字体</w:t>
            </w:r>
          </w:p>
        </w:tc>
        <w:tc>
          <w:tcPr>
            <w:tcW w:type="dxa" w:w="14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括注字体</w:t>
            </w:r>
          </w:p>
        </w:tc>
        <w:tc>
          <w:tcPr>
            <w:tcW w:type="dxa" w:w="145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中国候选</w:t>
            </w:r>
          </w:p>
        </w:tc>
        <w:tc>
          <w:tcPr>
            <w:tcW w:type="dxa" w:w="426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核验结论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5D6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250"/>
            <w:vAlign w:val="center"/>
            <w:shd w:fill="FFF5D6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嬢</w:t>
              <w:br/>
              <w:t>U+5B22</w:t>
            </w:r>
          </w:p>
        </w:tc>
        <w:tc>
          <w:tcPr>
            <w:tcW w:type="dxa" w:w="1450"/>
            <w:vAlign w:val="center"/>
            <w:shd w:fill="FFF5D6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孃</w:t>
            </w:r>
          </w:p>
        </w:tc>
        <w:tc>
          <w:tcPr>
            <w:tcW w:type="dxa" w:w="1450"/>
            <w:vAlign w:val="center"/>
            <w:shd w:fill="FFF5D6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娘</w:t>
            </w:r>
          </w:p>
        </w:tc>
        <w:tc>
          <w:tcPr>
            <w:tcW w:type="dxa" w:w="4260"/>
            <w:vAlign w:val="center"/>
            <w:shd w:fill="FFF5D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亜</w:t>
              <w:br/>
              <w:t>U+4E9C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亞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亚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悪</w:t>
              <w:br/>
              <w:t>U+60AA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惡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恶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圧</w:t>
              <w:br/>
              <w:t>U+5727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壓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压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囲</w:t>
              <w:br/>
              <w:t>U+56F2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圍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围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為</w:t>
              <w:br/>
              <w:t>U+70BA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爲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为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壱</w:t>
              <w:br/>
              <w:t>U+58F1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壹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壹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隠</w:t>
              <w:br/>
              <w:t>U+96A0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隱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隐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栄</w:t>
              <w:br/>
              <w:t>U+6804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榮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荣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営</w:t>
              <w:br/>
              <w:t>U+55B6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營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营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衛</w:t>
              <w:br/>
              <w:t>U+885B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衞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卫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12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駅</w:t>
              <w:br/>
              <w:t>U+99C5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驛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驿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13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円</w:t>
              <w:br/>
              <w:t>U+5186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圓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圆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14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塩</w:t>
              <w:br/>
              <w:t>U+5869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鹽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盐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縁</w:t>
              <w:br/>
              <w:t>U+7E01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緣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缘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艶</w:t>
              <w:br/>
              <w:t>U+8276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艷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艳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17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桜</w:t>
              <w:br/>
              <w:t>U+685C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櫻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樱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18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穏</w:t>
              <w:br/>
              <w:t>U+7A4F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穩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稳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19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仮</w:t>
              <w:br/>
              <w:t>U+4EEE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假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假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価</w:t>
              <w:br/>
              <w:t>U+4FA1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價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价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21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壊</w:t>
              <w:br/>
              <w:t>U+58CA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壞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坏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22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懐</w:t>
              <w:br/>
              <w:t>U+61D0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懷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怀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23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楽</w:t>
              <w:br/>
              <w:t>U+697D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樂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乐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24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渇</w:t>
              <w:br/>
              <w:t>U+6E07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渴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渴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巻</w:t>
              <w:br/>
              <w:t>U+5DFB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卷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卷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26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陥</w:t>
              <w:br/>
              <w:t>U+9665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陷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陷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27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勧</w:t>
              <w:br/>
              <w:t>U+52E7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勸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劝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28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関</w:t>
              <w:br/>
              <w:t>U+95A2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關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关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29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歓</w:t>
              <w:br/>
              <w:t>U+6B53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歡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欢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30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観</w:t>
              <w:br/>
              <w:t>U+89B3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觀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观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31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気</w:t>
              <w:br/>
              <w:t>U+6C17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氣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气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32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帰</w:t>
              <w:br/>
              <w:t>U+5E30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歸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归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33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戯</w:t>
              <w:br/>
              <w:t>U+622F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戲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戏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34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犠</w:t>
              <w:br/>
              <w:t>U+72A0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犧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牺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35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拠</w:t>
              <w:br/>
              <w:t>U+62E0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據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据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36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挙</w:t>
              <w:br/>
              <w:t>U+6319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擧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举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37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郷</w:t>
              <w:br/>
              <w:t>U+90F7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鄕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乡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38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暁</w:t>
              <w:br/>
              <w:t>U+6681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曉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晓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39</w:t>
            </w:r>
          </w:p>
        </w:tc>
        <w:tc>
          <w:tcPr>
            <w:tcW w:type="dxa" w:w="12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効</w:t>
              <w:br/>
              <w:t>U+52B9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效</w:t>
            </w:r>
          </w:p>
        </w:tc>
        <w:tc>
          <w:tcPr>
            <w:tcW w:type="dxa" w:w="14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效</w:t>
            </w:r>
          </w:p>
        </w:tc>
        <w:tc>
          <w:tcPr>
            <w:tcW w:type="dxa" w:w="42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40</w:t>
            </w:r>
          </w:p>
        </w:tc>
        <w:tc>
          <w:tcPr>
            <w:tcW w:type="dxa" w:w="12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2933"/>
                <w:sz w:val="24"/>
              </w:rPr>
              <w:t>広</w:t>
              <w:br/>
              <w:t>U+5E83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廣</w:t>
            </w:r>
          </w:p>
        </w:tc>
        <w:tc>
          <w:tcPr>
            <w:tcW w:type="dxa" w:w="145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24"/>
              </w:rPr>
              <w:t>广</w:t>
            </w:r>
          </w:p>
        </w:tc>
        <w:tc>
          <w:tcPr>
            <w:tcW w:type="dxa" w:w="426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日本现代通用字体；未收入中国8105字表。中国字为对应候选，须结合词义。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五、公共用字与商标使用边界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1. 面向社会公众的现代汉语用字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3"/>
        </w:rPr>
        <w:t>自2026年1月1日起施行的修订《中华人民共和国国家通用语言文字法》规定，公共服务、公共设施和招牌广告、企业事业组织名称、商品名称、包装和说明等，应以国家通用语言文字为基本用语用字。同时，法律对文物古迹、姓氏异体字、书法篆刻艺术、题词招牌手书字、出版教学研究等特定情形保留繁体字、异体字使用空间。</w:t>
      </w:r>
    </w:p>
    <w:p>
      <w:r>
        <w:rPr>
          <w:b/>
        </w:rPr>
        <w:t>依据：</w:t>
      </w:r>
      <w:hyperlink r:id="rId13">
        <w:r>
          <w:rPr>
            <w:rFonts w:ascii="Arial Unicode MS" w:hAnsi="Arial Unicode MS" w:eastAsia="Arial Unicode MS"/>
            <w:color w:val="245B78"/>
            <w:u w:val="single"/>
          </w:rPr>
          <w:t>《中华人民共和国国家通用语言文字法》（2025年修订）</w:t>
        </w:r>
      </w:hyperlink>
      <w:r>
        <w:t>。</w:t>
      </w:r>
    </w:p>
    <w:p>
      <w:pPr>
        <w:pStyle w:val="Heading2"/>
        <w:keepNext/>
      </w:pPr>
      <w:r>
        <w:rPr>
          <w:rFonts w:ascii="Arial Unicode MS" w:hAnsi="Arial Unicode MS" w:eastAsia="Arial Unicode MS"/>
        </w:rPr>
        <w:t>2. 商标初步风险识别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3"/>
        </w:rPr>
        <w:t>国家知识产权局相关指引提示，商标标志应避免含有不规范汉字，例如自造字、缺少或增加笔画、成语中汉字使用不规范等；书法表现或文字图形化设计、不易使公众产生错误认知的，仍需结合整体标志判断。对“嬢”等日本字符，除是否收入中国字表外，还应核验：标志整体是否明显为日文、是否属于外国专名、指定商品服务、相关公众认知、使用证据及是否可能产生不良影响。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F4F6F8"/>
          <w:left w:val="single" w:sz="4" w:space="0" w:color="F4F6F8"/>
          <w:bottom w:val="single" w:sz="4" w:space="0" w:color="F4F6F8"/>
          <w:right w:val="single" w:sz="4" w:space="0" w:color="F4F6F8"/>
          <w:insideH w:val="single" w:sz="4" w:space="0" w:color="F4F6F8"/>
          <w:insideV w:val="single" w:sz="4" w:space="0" w:color="F4F6F8"/>
        </w:tblBorders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color w:val="1F2933"/>
              </w:rPr>
              <w:t>截至2026年9月2日，2019年修正《商标法》仍为现行法；2026年修订《商标法》将于2027年1月1日起施行。任何正式申请、异议、无效或复审意见均应按具体程序时点复核法律。</w:t>
            </w:r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六、核验方法与局限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/>
          <w:color w:val="245B78"/>
        </w:rPr>
        <w:t>集合核验：</w:t>
      </w:r>
      <w:r>
        <w:rPr>
          <w:rFonts w:ascii="Arial Unicode MS" w:hAnsi="Arial Unicode MS" w:eastAsia="Arial Unicode MS"/>
          <w:color w:val="1F2933"/>
        </w:rPr>
        <w:t>以Unicode 17.0 Unihan数据库的kTGH/kTGHZ2013、kJoyoKanji等属性做码位和集合交叉核验，并以中日两国官方表格校正。Unicode仅用于技术性码位、字集和异体关系辅助，不是中国规范用字判定机关。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/>
          <w:color w:val="245B78"/>
        </w:rPr>
        <w:t>对应关系：</w:t>
      </w:r>
      <w:r>
        <w:rPr>
          <w:rFonts w:ascii="Arial Unicode MS" w:hAnsi="Arial Unicode MS" w:eastAsia="Arial Unicode MS"/>
          <w:color w:val="1F2933"/>
        </w:rPr>
        <w:t>日本字体到中国规范字的对应，优先使用日本表括注字体、Unicode异体属性及中国字表收录结果。该关系可能是字形/异体候选，不必然构成词义上的一对一替换。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/>
          <w:color w:val="245B78"/>
        </w:rPr>
        <w:t>结论层级：</w:t>
      </w:r>
      <w:r>
        <w:rPr>
          <w:rFonts w:ascii="Arial Unicode MS" w:hAnsi="Arial Unicode MS" w:eastAsia="Arial Unicode MS"/>
          <w:color w:val="1F2933"/>
        </w:rPr>
        <w:t>本报告区分“官方表格事实”“技术对照”“代理分析”和“待个案判断”。例如“嬢未收入8105字表”是可复核事实；“具体商标是否违反禁用条款”则需要结合标志、商品服务和公众认知另案分析。</w:t>
      </w:r>
    </w:p>
    <w:p>
      <w:pPr>
        <w:pStyle w:val="Heading1"/>
        <w:keepNext/>
      </w:pPr>
      <w:r>
        <w:rPr>
          <w:rFonts w:ascii="Arial Unicode MS" w:hAnsi="Arial Unicode MS" w:eastAsia="Arial Unicode MS"/>
        </w:rPr>
        <w:t>附录：主要来源记录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00"/>
        <w:gridCol w:w="2600"/>
        <w:gridCol w:w="1900"/>
        <w:gridCol w:w="1460"/>
        <w:gridCol w:w="2500"/>
      </w:tblGrid>
      <w:tr>
        <w:trPr>
          <w:tblHeader w:val="true"/>
        </w:trPr>
        <w:tc>
          <w:tcPr>
            <w:tcW w:type="dxa" w:w="90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60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0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机构</w:t>
            </w:r>
          </w:p>
        </w:tc>
        <w:tc>
          <w:tcPr>
            <w:tcW w:type="dxa" w:w="146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日期/版本</w:t>
            </w:r>
          </w:p>
        </w:tc>
        <w:tc>
          <w:tcPr>
            <w:tcW w:type="dxa" w:w="2500"/>
            <w:vAlign w:val="center"/>
            <w:shd w:fill="245B7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用途与链接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CN-01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《通用规范汉字表》附件页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教育部/国家语委</w:t>
            </w:r>
          </w:p>
        </w:tc>
        <w:tc>
          <w:tcPr>
            <w:tcW w:type="dxa" w:w="14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2013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中国规范字表来源｜</w:t>
            </w:r>
            <w:hyperlink r:id="rId11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CN-02</w:t>
            </w:r>
          </w:p>
        </w:tc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《通用规范汉字表》的基本内容和特点</w:t>
            </w:r>
          </w:p>
        </w:tc>
        <w:tc>
          <w:tcPr>
            <w:tcW w:type="dxa" w:w="19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教育部</w:t>
            </w:r>
          </w:p>
        </w:tc>
        <w:tc>
          <w:tcPr>
            <w:tcW w:type="dxa" w:w="146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2013-08-27</w:t>
            </w:r>
          </w:p>
        </w:tc>
        <w:tc>
          <w:tcPr>
            <w:tcW w:type="dxa" w:w="2500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8105字及三级数量｜</w:t>
            </w:r>
            <w:hyperlink r:id="rId12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CN-03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关于贯彻实施《通用规范汉字表》的通知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教育部等十二部门</w:t>
            </w:r>
          </w:p>
        </w:tc>
        <w:tc>
          <w:tcPr>
            <w:tcW w:type="dxa" w:w="14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2013-10-15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社会用字实施边界｜</w:t>
            </w:r>
            <w:hyperlink r:id="rId14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JP-01</w:t>
            </w:r>
          </w:p>
        </w:tc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常用漢字表（平成22年内閣告示第2号）</w:t>
            </w:r>
          </w:p>
        </w:tc>
        <w:tc>
          <w:tcPr>
            <w:tcW w:type="dxa" w:w="19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日本文化庁</w:t>
            </w:r>
          </w:p>
        </w:tc>
        <w:tc>
          <w:tcPr>
            <w:tcW w:type="dxa" w:w="146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2010-11-30</w:t>
            </w:r>
          </w:p>
        </w:tc>
        <w:tc>
          <w:tcPr>
            <w:tcW w:type="dxa" w:w="2500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2136字、现代通用字体与括注参考字体｜</w:t>
            </w:r>
            <w:hyperlink r:id="rId15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TECH-01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Unicode 17.0 Unihan Database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Unicode Consortium</w:t>
            </w:r>
          </w:p>
        </w:tc>
        <w:tc>
          <w:tcPr>
            <w:tcW w:type="dxa" w:w="14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17.0.0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码位、集合及异体关系机器核验｜</w:t>
            </w:r>
            <w:hyperlink r:id="rId16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LAW-01</w:t>
            </w:r>
          </w:p>
        </w:tc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国家通用语言文字法（2025年修订）</w:t>
            </w:r>
          </w:p>
        </w:tc>
        <w:tc>
          <w:tcPr>
            <w:tcW w:type="dxa" w:w="19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全国人大常委会</w:t>
            </w:r>
          </w:p>
        </w:tc>
        <w:tc>
          <w:tcPr>
            <w:tcW w:type="dxa" w:w="146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2026-01-01施行</w:t>
            </w:r>
          </w:p>
        </w:tc>
        <w:tc>
          <w:tcPr>
            <w:tcW w:type="dxa" w:w="2500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公共用字及特定例外｜</w:t>
            </w:r>
            <w:hyperlink r:id="rId13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TM-01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关于禁止作为商标使用标志的指引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国家知识产权局</w:t>
            </w:r>
          </w:p>
        </w:tc>
        <w:tc>
          <w:tcPr>
            <w:tcW w:type="dxa" w:w="14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查询日2026-09-02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不规范汉字商标风险参考｜</w:t>
            </w:r>
            <w:hyperlink r:id="rId17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TM-02</w:t>
            </w:r>
          </w:p>
        </w:tc>
        <w:tc>
          <w:tcPr>
            <w:tcW w:type="dxa" w:w="26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商标法（2019年修正）</w:t>
            </w:r>
          </w:p>
        </w:tc>
        <w:tc>
          <w:tcPr>
            <w:tcW w:type="dxa" w:w="1900"/>
            <w:vAlign w:val="center"/>
            <w:shd w:fill="EAF2F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全国人大常委会/国家知识产权局</w:t>
            </w:r>
          </w:p>
        </w:tc>
        <w:tc>
          <w:tcPr>
            <w:tcW w:type="dxa" w:w="1460"/>
            <w:vAlign w:val="center"/>
            <w:shd w:fill="EAF2F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现行至2026-12-31</w:t>
            </w:r>
          </w:p>
        </w:tc>
        <w:tc>
          <w:tcPr>
            <w:tcW w:type="dxa" w:w="2500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当前法律时点｜</w:t>
            </w:r>
            <w:hyperlink r:id="rId18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TM-03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商标法（2026年修订）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全国人大常委会/国家知识产权局</w:t>
            </w:r>
          </w:p>
        </w:tc>
        <w:tc>
          <w:tcPr>
            <w:tcW w:type="dxa" w:w="14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2027-01-01施行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sz w:val="17"/>
              </w:rPr>
              <w:t>未来生效时点｜</w:t>
            </w:r>
            <w:hyperlink r:id="rId19">
              <w:r>
                <w:rPr>
                  <w:rFonts w:ascii="Arial Unicode MS" w:hAnsi="Arial Unicode MS" w:eastAsia="Arial Unicode MS"/>
                  <w:color w:val="245B78"/>
                  <w:u w:val="single"/>
                </w:rPr>
                <w:t>官方链接</w:t>
              </w:r>
            </w:hyperlink>
          </w:p>
        </w:tc>
      </w:tr>
    </w:tbl>
    <w:p>
      <w:pPr>
        <w:pStyle w:val="Heading1"/>
        <w:keepNext/>
      </w:pPr>
      <w:r>
        <w:rPr>
          <w:rFonts w:ascii="Arial Unicode MS" w:hAnsi="Arial Unicode MS" w:eastAsia="Arial Unicode MS"/>
        </w:rPr>
        <w:t>交付说明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E8F3F2"/>
          <w:left w:val="single" w:sz="4" w:space="0" w:color="E8F3F2"/>
          <w:bottom w:val="single" w:sz="4" w:space="0" w:color="E8F3F2"/>
          <w:right w:val="single" w:sz="4" w:space="0" w:color="E8F3F2"/>
          <w:insideH w:val="single" w:sz="4" w:space="0" w:color="E8F3F2"/>
          <w:insideV w:val="single" w:sz="4" w:space="0" w:color="E8F3F2"/>
        </w:tblBorders>
      </w:tblPr>
      <w:tblGrid>
        <w:gridCol w:w="9360"/>
      </w:tblGrid>
      <w:tr>
        <w:tc>
          <w:tcPr>
            <w:tcW w:type="dxa" w:w="9360"/>
            <w:shd w:fill="E8F3F2"/>
          </w:tcPr>
          <w:p>
            <w:pPr>
              <w:spacing w:after="120" w:line="264" w:lineRule="auto"/>
            </w:pPr>
            <w:r>
              <w:rPr>
                <w:rFonts w:ascii="Arial Unicode MS" w:hAnsi="Arial Unicode MS" w:eastAsia="Arial Unicode MS"/>
                <w:color w:val="1F2933"/>
              </w:rPr>
              <w:t>本Word用于解释规则、示例和使用边界；完整可筛选数据见《2026-09-02_中国规范汉字与日本通用字体核验表_v01.xlsx》。若用于具体商标申请、异议、无效宣告或行政诉讼，应另行核对争议标志图样、指定商品服务、程序时点及官方审查材料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6626D"/>
        <w:sz w:val="17"/>
      </w:rPr>
      <w:t>规范用字核验｜中国规范汉字与日本《常用漢字表》字体对照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dong.moe.gov.cn/jyb_sjzl/ziliao/A19/201306/t20130601_186002.html" TargetMode="External"/><Relationship Id="rId12" Type="http://schemas.openxmlformats.org/officeDocument/2006/relationships/hyperlink" Target="https://www.moe.gov.cn/jyb_xwfb/xw_fbh/moe_2069/s7135/s7562/s7569/201308/t20130827_156353.html" TargetMode="External"/><Relationship Id="rId13" Type="http://schemas.openxmlformats.org/officeDocument/2006/relationships/hyperlink" Target="https://www.moe.gov.cn/jyb_sjzl/sjzl_zcfg/zcfg_jyfl/202606/t20260605_1438880.html" TargetMode="External"/><Relationship Id="rId14" Type="http://schemas.openxmlformats.org/officeDocument/2006/relationships/hyperlink" Target="https://www.moe.gov.cn/srcsite/A19/s229/201310/t20131015_159487.html" TargetMode="External"/><Relationship Id="rId15" Type="http://schemas.openxmlformats.org/officeDocument/2006/relationships/hyperlink" Target="https://www.bunka.go.jp/kokugo_nihongo/sisaku/joho/joho/kijun/naikaku/kanji/" TargetMode="External"/><Relationship Id="rId16" Type="http://schemas.openxmlformats.org/officeDocument/2006/relationships/hyperlink" Target="https://www.unicode.org/Public/17.0.0/ucd/Unihan.zip" TargetMode="External"/><Relationship Id="rId17" Type="http://schemas.openxmlformats.org/officeDocument/2006/relationships/hyperlink" Target="https://www.cnipa.gov.cn/module/download/downfile.jsp?classid=0&amp;filename=f1a312ab8f5342fa971c81499dcae814.pdf" TargetMode="External"/><Relationship Id="rId18" Type="http://schemas.openxmlformats.org/officeDocument/2006/relationships/hyperlink" Target="https://www.cnipa.gov.cn/art/2019/7/30/art_95_28179.html" TargetMode="External"/><Relationship Id="rId19" Type="http://schemas.openxmlformats.org/officeDocument/2006/relationships/hyperlink" Target="https://www.cnipa.gov.cn/art/2026/6/26/art_3686_20694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中国规范汉字与日本通用字体核验说明</dc:title>
  <dc:subject>规范用字、日文字体与中国规范汉字对照</dc:subject>
  <dc:creator>商标代理自动化智能体（工作稿）</dc:creator>
  <cp:keywords>通用规范汉字表, 常用漢字表, 嬢, 日本字体, 商标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