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基于深度学习的文档理解研究综述</w:t>
      </w:r>
    </w:p>
    <w:p>
      <w:pPr>
        <w:pStyle w:val="Heading1"/>
      </w:pPr>
      <w:r>
        <w:t>摘要</w:t>
      </w:r>
    </w:p>
    <w:p>
      <w:r>
        <w:t>本文系统综述了深度学习在文档理解领域的研究进展。文档理解旨在从非结构化文档中抽取结构化信息，涵盖版面分析、文本识别、表格解析与语义抽取等子任务。近年来，随着预训练语言模型与视觉-语言模型的兴起，该领域取得了显著进展。</w:t>
      </w:r>
    </w:p>
    <w:p>
      <w:pPr>
        <w:pStyle w:val="Heading1"/>
      </w:pPr>
      <w:r>
        <w:t>1 引言</w:t>
      </w:r>
    </w:p>
    <w:p>
      <w:r>
        <w:t>文档是人类知识传承的主要载体。据估计，企业数据中约百分之八十以非结构化文档形式存在，包括合同、发票、学术论文与病历等。如何让机器自动理解这些文档，成为信息检索与知识管理的关键问题。</w:t>
      </w:r>
    </w:p>
    <w:p>
      <w:pPr>
        <w:pStyle w:val="Heading1"/>
      </w:pPr>
      <w:r>
        <w:t>2 方法</w:t>
      </w:r>
    </w:p>
    <w:p>
      <w:r>
        <w:t>本文提出的框架包含三个阶段：文档图像预处理、多模态特征编码与结构化解码。解码阶段采用受限解码策略，保证输出符合目标模式。</w:t>
      </w:r>
    </w:p>
    <w:p>
      <m:oMathPara>
        <m:oMath>
          <m:sSub>
            <m:e>
              <m:r>
                <m:t>p</m:t>
              </m:r>
            </m:e>
            <m:sub>
              <m:r>
                <m:t>ri</m:t>
              </m:r>
            </m:sub>
          </m:sSub>
          <m:r>
            <m:t>=</m:t>
          </m:r>
          <m:f>
            <m:num>
              <m:sSub>
                <m:e>
                  <m:r>
                    <m:t>x</m:t>
                  </m:r>
                </m:e>
                <m:sub>
                  <m:r>
                    <m:t>ri</m:t>
                  </m:r>
                </m:sub>
              </m:sSub>
            </m:num>
            <m:den>
              <m:nary>
                <m:naryPr>
                  <m:chr m:val="∑"/>
                  <m:limLoc m:val="undOvr"/>
                </m:naryPr>
                <m:sub>
                  <m:r>
                    <m:t>j=1</m:t>
                  </m:r>
                </m:sub>
                <m:sup>
                  <m:r>
                    <m:t>17</m:t>
                  </m:r>
                </m:sup>
                <m:e>
                  <m:sSub>
                    <m:e>
                      <m:r>
                        <m:t>x</m:t>
                      </m:r>
                    </m:e>
                    <m:sub>
                      <m:r>
                        <m:t>rj</m:t>
                      </m:r>
                    </m:sub>
                  </m:sSub>
                </m:e>
              </m:nary>
            </m:den>
          </m:f>
          <m:r>
            <m:t>,</m:t>
          </m:r>
          <m:sSub>
            <m:e>
              <m:r>
                <m:t>p</m:t>
              </m:r>
            </m:e>
            <m:sub>
              <m:r>
                <m:t>ri</m:t>
              </m:r>
            </m:sub>
          </m:sSub>
          <m:r>
            <m:t>≥0</m:t>
          </m:r>
        </m:oMath>
      </m:oMathPara>
    </w:p>
    <w:p>
      <w:r>
        <w:t>其中 x_ri 为第 r 组配方中第 i 个领域的原始比例，分母为全部 17 个领域之和，使比例向量落在单纯形上（非负且分量和为 1）。</w:t>
      </w:r>
    </w:p>
    <w:p>
      <w:r>
        <w:t xml:space="preserve">模型复杂度可由 </w:t>
      </w:r>
      <m:oMath>
        <m:r>
          <m:t>R</m:t>
        </m:r>
        <m:r>
          <m:t>=</m:t>
        </m:r>
        <m:rad>
          <m:deg>
            <m:r>
              <m:t>2</m:t>
            </m:r>
          </m:deg>
          <m:e>
            <m:r>
              <m:t>a</m:t>
            </m:r>
            <m:sSup>
              <m:e>
                <m:r>
                  <m:t>b</m:t>
                </m:r>
              </m:e>
              <m:sup>
                <m:r>
                  <m:t>2</m:t>
                </m:r>
              </m:sup>
            </m:sSup>
          </m:e>
        </m:rad>
      </m:oMath>
      <w:r>
        <w:t xml:space="preserve"> 衡量，其中 a 为基础系数，b 为缩放因子。</w:t>
      </w:r>
    </w:p>
    <w:p>
      <w:pPr>
        <w:pStyle w:val="Heading1"/>
      </w:pPr>
      <w:r>
        <w:t>3 实验结果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数据集</w:t>
            </w:r>
          </w:p>
        </w:tc>
        <w:tc>
          <w:tcPr>
            <w:tcW w:type="dxa" w:w="2160"/>
          </w:tcPr>
          <w:p>
            <w:r>
              <w:rPr>
                <w:b/>
              </w:rPr>
              <w:t>方法</w:t>
            </w:r>
          </w:p>
        </w:tc>
        <w:tc>
          <w:tcPr>
            <w:tcW w:type="dxa" w:w="2160"/>
          </w:tcPr>
          <w:p>
            <w:r>
              <w:rPr>
                <w:b/>
              </w:rPr>
              <w:t>F1</w:t>
            </w:r>
          </w:p>
        </w:tc>
        <w:tc>
          <w:tcPr>
            <w:tcW w:type="dxa" w:w="2160"/>
          </w:tcPr>
          <w:p>
            <w:r>
              <w:rPr>
                <w:b/>
              </w:rPr>
              <w:t>mAP</w:t>
            </w:r>
          </w:p>
        </w:tc>
      </w:tr>
      <w:tr>
        <w:tc>
          <w:tcPr>
            <w:tcW w:type="dxa" w:w="2160"/>
          </w:tcPr>
          <w:p>
            <w:r>
              <w:t>FUNSD</w:t>
            </w:r>
          </w:p>
        </w:tc>
        <w:tc>
          <w:tcPr>
            <w:tcW w:type="dxa" w:w="2160"/>
          </w:tcPr>
          <w:p>
            <w:r>
              <w:t>LayoutLM</w:t>
            </w:r>
          </w:p>
        </w:tc>
        <w:tc>
          <w:tcPr>
            <w:tcW w:type="dxa" w:w="2160"/>
          </w:tcPr>
          <w:p>
            <w:r>
              <w:t>0.792</w:t>
            </w:r>
          </w:p>
        </w:tc>
        <w:tc>
          <w:tcPr>
            <w:tcW w:type="dxa" w:w="2160"/>
          </w:tcPr>
          <w:p>
            <w:r>
              <w:t>0.741</w:t>
            </w:r>
          </w:p>
        </w:tc>
      </w:tr>
      <w:tr>
        <w:tc>
          <w:tcPr>
            <w:tcW w:type="dxa" w:w="2160"/>
          </w:tcPr>
          <w:p>
            <w:r>
              <w:t>FUNSD</w:t>
            </w:r>
          </w:p>
        </w:tc>
        <w:tc>
          <w:tcPr>
            <w:tcW w:type="dxa" w:w="2160"/>
          </w:tcPr>
          <w:p>
            <w:r>
              <w:t>本文方法</w:t>
            </w:r>
          </w:p>
        </w:tc>
        <w:tc>
          <w:tcPr>
            <w:tcW w:type="dxa" w:w="2160"/>
          </w:tcPr>
          <w:p>
            <w:r>
              <w:t>0.815</w:t>
            </w:r>
          </w:p>
        </w:tc>
        <w:tc>
          <w:tcPr>
            <w:tcW w:type="dxa" w:w="2160"/>
          </w:tcPr>
          <w:p>
            <w:r>
              <w:t>0.762</w:t>
            </w:r>
          </w:p>
        </w:tc>
      </w:tr>
      <w:tr>
        <w:tc>
          <w:tcPr>
            <w:tcW w:type="dxa" w:w="2160"/>
          </w:tcPr>
          <w:p>
            <w:r>
              <w:t>CORD</w:t>
            </w:r>
          </w:p>
        </w:tc>
        <w:tc>
          <w:tcPr>
            <w:tcW w:type="dxa" w:w="2160"/>
          </w:tcPr>
          <w:p>
            <w:r>
              <w:t>LayoutLM</w:t>
            </w:r>
          </w:p>
        </w:tc>
        <w:tc>
          <w:tcPr>
            <w:tcW w:type="dxa" w:w="2160"/>
          </w:tcPr>
          <w:p>
            <w:r>
              <w:t>0.901</w:t>
            </w:r>
          </w:p>
        </w:tc>
        <w:tc>
          <w:tcPr>
            <w:tcW w:type="dxa" w:w="2160"/>
          </w:tcPr>
          <w:p>
            <w:r>
              <w:t>0.845</w:t>
            </w:r>
          </w:p>
        </w:tc>
      </w:tr>
      <w:tr>
        <w:tc>
          <w:tcPr>
            <w:tcW w:type="dxa" w:w="2160"/>
          </w:tcPr>
          <w:p>
            <w:r>
              <w:t>CORD</w:t>
            </w:r>
          </w:p>
        </w:tc>
        <w:tc>
          <w:tcPr>
            <w:tcW w:type="dxa" w:w="2160"/>
          </w:tcPr>
          <w:p>
            <w:r>
              <w:t>本文方法</w:t>
            </w:r>
          </w:p>
        </w:tc>
        <w:tc>
          <w:tcPr>
            <w:tcW w:type="dxa" w:w="2160"/>
          </w:tcPr>
          <w:p>
            <w:r>
              <w:t>0.928</w:t>
            </w:r>
          </w:p>
        </w:tc>
        <w:tc>
          <w:tcPr>
            <w:tcW w:type="dxa" w:w="2160"/>
          </w:tcPr>
          <w:p>
            <w:r>
              <w:t>0.873</w:t>
            </w:r>
          </w:p>
        </w:tc>
      </w:tr>
    </w:tbl>
    <w:p>
      <w:r>
        <w:t>表 1 给出了在 FUNSD 与 CORD 两个公开数据集上的对比结果。可以看出，本文方法在实体抽取任务上的 F1 值较基线提升约 2.3 个百分点。</w:t>
      </w:r>
    </w:p>
    <w:p>
      <w:pPr>
        <w:pStyle w:val="Heading1"/>
      </w:pPr>
      <w:r>
        <w:t>4 消融分析</w:t>
      </w:r>
    </w:p>
    <w:p>
      <w:r>
        <w:t>图 1 展示了去掉不同模块后的性能变化。</w:t>
      </w:r>
    </w:p>
    <w:p>
      <w:r>
        <w:drawing>
          <wp:inline xmlns:a="http://schemas.openxmlformats.org/drawingml/2006/main" xmlns:pic="http://schemas.openxmlformats.org/drawingml/2006/picture">
            <wp:extent cx="3840480" cy="2280285"/>
            <wp:docPr id="1" name="Picture 1"/>
            <wp:cNvGraphicFramePr>
              <a:graphicFrameLocks noChangeAspect="1"/>
            </wp:cNvGraphicFramePr>
            <a:graphic>
              <a:graphicData uri="http://schemas.openxmlformats.org/drawingml/2006/picture">
                <pic:pic>
                  <pic:nvPicPr>
                    <pic:cNvPr id="0" name="_figure1.png"/>
                    <pic:cNvPicPr/>
                  </pic:nvPicPr>
                  <pic:blipFill>
                    <a:blip r:embed="rId9"/>
                    <a:stretch>
                      <a:fillRect/>
                    </a:stretch>
                  </pic:blipFill>
                  <pic:spPr>
                    <a:xfrm>
                      <a:off x="0" y="0"/>
                      <a:ext cx="3840480" cy="2280285"/>
                    </a:xfrm>
                    <a:prstGeom prst="rect"/>
                  </pic:spPr>
                </pic:pic>
              </a:graphicData>
            </a:graphic>
          </wp:inline>
        </w:drawing>
      </w:r>
    </w:p>
    <w:p>
      <w:r>
        <w:t>图 1 消融实验结果（柱状图）。</w:t>
      </w:r>
    </w:p>
    <w:p>
      <w:pPr>
        <w:pStyle w:val="Heading1"/>
      </w:pPr>
      <w:r>
        <w:t>5 结论</w:t>
      </w:r>
    </w:p>
    <w:p>
      <w:r>
        <w:t>未来工作将探索更高效的预训练策略以及面向长文档的层次化建模方法。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