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修改版-ieee-39-节点完整算例数据极热无风场景"/>
    <w:p>
      <w:pPr>
        <w:pStyle w:val="Heading1"/>
      </w:pPr>
      <w:r>
        <w:t xml:space="preserve">修改版 IEEE 39 节点完整算例数据（极热无风场景）</w:t>
      </w:r>
    </w:p>
    <w:p>
      <w:pPr>
        <w:pStyle w:val="FirstParagraph"/>
      </w:pPr>
      <w:r>
        <w:t xml:space="preserve">本文档给出基于</w:t>
      </w:r>
      <w:r>
        <w:t xml:space="preserve"> </w:t>
      </w:r>
      <w:r>
        <w:rPr>
          <w:bCs/>
          <w:b/>
        </w:rPr>
        <w:t xml:space="preserve">MATPOWER case39</w:t>
      </w:r>
      <w:r>
        <w:t xml:space="preserve">（New England 10 机 39 节点系统）修改后的</w:t>
      </w:r>
      <w:r>
        <w:rPr>
          <w:bCs/>
          <w:b/>
        </w:rPr>
        <w:t xml:space="preserve">完整算例数据</w:t>
      </w:r>
      <w:r>
        <w:t xml:space="preserve">，涵盖 39 个节点、46 条支路、10 台机组（火电/水电/风电/光伏四类）、21 个负荷节点及极热无风气象场景参数。</w:t>
      </w:r>
    </w:p>
    <w:p>
      <w:pPr>
        <w:pStyle w:val="BodyText"/>
      </w:pPr>
      <w:r>
        <w:t xml:space="preserve">功率单位</w:t>
      </w:r>
      <w:r>
        <w:t xml:space="preserve"> </w:t>
      </w:r>
      <w:r>
        <w:rPr>
          <w:bCs/>
          <w:b/>
        </w:rPr>
        <w:t xml:space="preserve">MW</w:t>
      </w:r>
      <w:r>
        <w:t xml:space="preserve">，基准容量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MVA</m:t>
        </m:r>
      </m:oMath>
      <w:r>
        <w:t xml:space="preserve">。MATLAB 数据文件：</w:t>
      </w:r>
      <w:r>
        <w:rPr>
          <w:rStyle w:val="VerbatimChar"/>
        </w:rPr>
        <w:t xml:space="preserve">matlab/case39_ehnw.m</w:t>
      </w:r>
      <w:r>
        <w:t xml:space="preserve">、</w:t>
      </w:r>
      <w:r>
        <w:rPr>
          <w:rStyle w:val="VerbatimChar"/>
        </w:rPr>
        <w:t xml:space="preserve">matlab/weather_scenario.m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系统概况"/>
    <w:p>
      <w:pPr>
        <w:pStyle w:val="Heading2"/>
      </w:pPr>
      <w:r>
        <w:t xml:space="preserve">1. 系统概况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case39_ehnw（Extreme Heat / No Wind）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10（水电 1 + 火电 6 + 风电 2 + 光伏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基准负荷合计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6254.23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机组铭牌总容量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平衡节点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31（G2，火电-燃煤）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电压等级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 kV</w:t>
            </w:r>
          </w:p>
        </w:tc>
      </w:tr>
    </w:tbl>
    <w:bookmarkStart w:id="20" w:name="相对原始-case39-的主要修改"/>
    <w:p>
      <w:pPr>
        <w:pStyle w:val="Heading3"/>
      </w:pPr>
      <w:r>
        <w:t xml:space="preserve">1.1 相对原始 case39 的主要修改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 10 台核电/火电/水电重新指派为四类电源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额定容量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按四类机组重新设定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设二次成本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P</m:t>
              </m:r>
            </m:oMath>
            <w:r>
              <w:t xml:space="preserve">（$/h）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genOps</w:t>
            </w:r>
            <w:r>
              <w:t xml:space="preserve">：基准出力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、爬坡率、水电电量系数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保留原始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，供温度修正与三级切负荷拆分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节点数据39-节点完整表"/>
    <w:p>
      <w:pPr>
        <w:pStyle w:val="Heading2"/>
      </w:pPr>
      <w:r>
        <w:t xml:space="preserve">2. 节点数据（39 节点完整表）</w:t>
      </w:r>
    </w:p>
    <w:p>
      <w:pPr>
        <w:pStyle w:val="FirstParagraph"/>
      </w:pPr>
      <w:r>
        <w:t xml:space="preserve">节点类型：1 = PQ 负荷节点，2 = PV 发电节点，3 = 平衡节点。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 火电-燃煤（slack）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 火电-燃气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G8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发电+负荷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G10 火电-燃气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支路数据46-条完整表"/>
    <w:p>
      <w:pPr>
        <w:pStyle w:val="Heading2"/>
      </w:pPr>
      <w:r>
        <w:t xml:space="preserve">3. 支路数据（46 条完整表）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fbus/tbus</w:t>
      </w:r>
      <w:r>
        <w:t xml:space="preserve"> </w:t>
      </w:r>
      <w:r>
        <w:t xml:space="preserve">起止节点，</w:t>
      </w:r>
      <w:r>
        <w:rPr>
          <w:rStyle w:val="VerbatimChar"/>
        </w:rPr>
        <w:t xml:space="preserve">x</w:t>
      </w:r>
      <w:r>
        <w:t xml:space="preserve"> </w:t>
      </w:r>
      <w:r>
        <w:t xml:space="preserve">电抗 (p.u.)，</w:t>
      </w:r>
      <w:r>
        <w:rPr>
          <w:rStyle w:val="VerbatimChar"/>
        </w:rPr>
        <w:t xml:space="preserve">rateA</w:t>
      </w:r>
      <w:r>
        <w:t xml:space="preserve"> </w:t>
      </w:r>
      <w:r>
        <w:t xml:space="preserve">热稳限额 (MW)，</w:t>
      </w:r>
      <w:r>
        <w:rPr>
          <w:rStyle w:val="VerbatimChar"/>
        </w:rPr>
        <w:t xml:space="preserve">tap</w:t>
      </w:r>
      <w:r>
        <w:t xml:space="preserve"> </w:t>
      </w:r>
      <w:r>
        <w:t xml:space="preserve">变压器变比（0 表示 1.0）。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 (p.u.)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rateA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</w:tbl>
    <w:p>
      <w:pPr>
        <w:pStyle w:val="BlockText"/>
      </w:pPr>
      <w:r>
        <w:t xml:space="preserve">支路电阻</w:t>
      </w:r>
      <w:r>
        <w:t xml:space="preserve"> </w:t>
      </w:r>
      <m:oMath>
        <m:r>
          <m:t>r</m:t>
        </m:r>
      </m:oMath>
      <w:r>
        <w:t xml:space="preserve">、电纳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在 DC 最优潮流中不使用；电抗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与变比</w:t>
      </w:r>
      <w:r>
        <w:t xml:space="preserve"> </w:t>
      </w:r>
      <w:r>
        <w:rPr>
          <w:rStyle w:val="VerbatimChar"/>
        </w:rPr>
        <w:t xml:space="preserve">tap</w:t>
      </w:r>
      <w:r>
        <w:t xml:space="preserve"> </w:t>
      </w:r>
      <w:r>
        <w:t xml:space="preserve">取自 MATPOWER case39。</w:t>
      </w:r>
    </w:p>
    <w:p>
      <w:r>
        <w:pict>
          <v:rect style="width:0;height:1.5pt" o:hralign="center" o:hrstd="t" o:hr="t"/>
        </w:pict>
      </w:r>
    </w:p>
    <w:bookmarkEnd w:id="23"/>
    <w:bookmarkStart w:id="24" w:name="发电机数据10-台完整表"/>
    <w:p>
      <w:pPr>
        <w:pStyle w:val="Heading2"/>
      </w:pPr>
      <w:r>
        <w:t xml:space="preserve">4. 发电机数据（10 台完整表）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4"/>
        <w:gridCol w:w="408"/>
        <w:gridCol w:w="489"/>
        <w:gridCol w:w="489"/>
        <w:gridCol w:w="2367"/>
        <w:gridCol w:w="1469"/>
        <w:gridCol w:w="571"/>
        <w:gridCol w:w="571"/>
        <w:gridCol w:w="1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原 case39 机组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nuke01（平衡机）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nuke03→改风电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fossil04→改光伏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nuke04→改风电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interconnection</w:t>
            </w:r>
          </w:p>
        </w:tc>
      </w:tr>
    </w:tbl>
    <w:p>
      <w:pPr>
        <w:pStyle w:val="BodyText"/>
      </w:pPr>
      <w:r>
        <w:t xml:space="preserve">发电成本：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（$/h）。</w:t>
      </w:r>
    </w:p>
    <w:p>
      <w:r>
        <w:pict>
          <v:rect style="width:0;height:1.5pt" o:hralign="center" o:hrstd="t" o:hr="t"/>
        </w:pict>
      </w:r>
    </w:p>
    <w:bookmarkEnd w:id="24"/>
    <w:bookmarkStart w:id="25" w:name="机组运行参数-genops"/>
    <w:p>
      <w:pPr>
        <w:pStyle w:val="Heading2"/>
      </w:pPr>
      <w:r>
        <w:t xml:space="preserve">5. 机组运行参数</w:t>
      </w:r>
      <w:r>
        <w:t xml:space="preserve"> </w:t>
      </w:r>
      <w:r>
        <w:rPr>
          <w:rStyle w:val="VerbatimChar"/>
        </w:rPr>
        <w:t xml:space="preserve">genOps</w:t>
      </w:r>
    </w:p>
    <w:p>
      <w:pPr>
        <w:pStyle w:val="FirstParagraph"/>
      </w:pPr>
      <w:r>
        <w:t xml:space="preserve">用于调度区间、爬坡与水电水库电量约束（</w:t>
      </w:r>
      <w:r>
        <w:rPr>
          <w:rStyle w:val="VerbatimChar"/>
        </w:rPr>
        <w:t xml:space="preserve">source_dispatch_bounds.m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624"/>
        <w:gridCol w:w="1218"/>
        <w:gridCol w:w="1218"/>
        <w:gridCol w:w="35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numPr>
          <w:ilvl w:val="0"/>
          <w:numId w:val="1001"/>
        </w:numPr>
        <w:pStyle w:val="Compact"/>
      </w:pPr>
      <m:oMath>
        <m:sSubSup>
          <m:e>
            <m:r>
              <m:t>P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t xml:space="preserve">：上一时段基准出力，取自 MATPOWER case39 同母线原始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（风光取 0）</w:t>
      </w:r>
    </w:p>
    <w:p>
      <w:pPr>
        <w:numPr>
          <w:ilvl w:val="0"/>
          <w:numId w:val="1001"/>
        </w:numPr>
        <w:pStyle w:val="Compact"/>
      </w:pPr>
      <w:r>
        <w:t xml:space="preserve">爬坡率：相对额定容量，单位 1/h；调度时段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</w:p>
    <w:p>
      <w:pPr>
        <w:numPr>
          <w:ilvl w:val="0"/>
          <w:numId w:val="1001"/>
        </w:numPr>
        <w:pStyle w:val="Compact"/>
      </w:pPr>
      <w:r>
        <w:t xml:space="preserve">水电可用电量：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⋅</m:t>
        </m:r>
        <m:r>
          <m:t>Δ</m:t>
        </m:r>
        <m:r>
          <m:t>t</m:t>
        </m:r>
      </m:oMath>
    </w:p>
    <w:p>
      <w:r>
        <w:pict>
          <v:rect style="width:0;height:1.5pt" o:hralign="center" o:hrstd="t" o:hr="t"/>
        </w:pict>
      </w:r>
    </w:p>
    <w:bookmarkEnd w:id="25"/>
    <w:bookmarkStart w:id="28" w:name="负荷分类与极热修正21-个负荷节点"/>
    <w:p>
      <w:pPr>
        <w:pStyle w:val="Heading2"/>
      </w:pPr>
      <w:r>
        <w:t xml:space="preserve">6. 负荷分类与极热修正（21 个负荷节点）</w:t>
      </w:r>
    </w:p>
    <w:bookmarkStart w:id="26" w:name="负荷分类规则"/>
    <w:p>
      <w:pPr>
        <w:pStyle w:val="Heading3"/>
      </w:pPr>
      <w:r>
        <w:t xml:space="preserve">6.1 负荷分类规则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刚性比例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温敏(空调)比例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舒适基准温度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 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温度灵敏度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0.020 /℃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一级(关键)比例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0.20，VOLL = 10000 $/MWh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二级(重要)比例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0.30，VOLL = 5000 $/MWh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三级(可中断)比例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0.50，VOLL = 1000 $/MWh</w:t>
            </w:r>
          </w:p>
        </w:tc>
      </w:tr>
    </w:tbl>
    <w:p>
      <w:pPr>
        <w:pStyle w:val="BodyText"/>
      </w:pPr>
      <w:r>
        <w:t xml:space="preserve">温度修正公式：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0.6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0.4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0.02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26"/>
    <w:bookmarkStart w:id="27" w:name="极热场景t40各节点需求"/>
    <w:p>
      <w:pPr>
        <w:pStyle w:val="Heading3"/>
      </w:pPr>
      <w:r>
        <w:t xml:space="preserve">6.2 极热场景（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）各节点需求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074"/>
        <w:gridCol w:w="1508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1350.91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2026.37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3377.29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极热无风气象场景参数"/>
    <w:p>
      <w:pPr>
        <w:pStyle w:val="Heading2"/>
      </w:pPr>
      <w:r>
        <w:t xml:space="preserve">7. 极热无风气象场景参数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调度时段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单时段快照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40 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风速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无风（&lt; 切入 3 m/s）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辐照度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900 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强辐照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火电参考温度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燃煤降容系数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0.005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燃气降容系数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0.009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水电枯水系数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风电切入风速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风电额定风速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风电切出风速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辐照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1000 W/m²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NOCT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光伏温度系数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-0.004 /℃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极热场景下源侧降容与调度区间"/>
    <w:p>
      <w:pPr>
        <w:pStyle w:val="Heading2"/>
      </w:pPr>
      <w:r>
        <w:t xml:space="preserve">8. 极热场景下源侧降容与调度区间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"/>
        <w:gridCol w:w="565"/>
        <w:gridCol w:w="2074"/>
        <w:gridCol w:w="1980"/>
        <w:gridCol w:w="1131"/>
        <w:gridCol w:w="942"/>
        <w:gridCol w:w="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matlab-代码文件与用法"/>
    <w:p>
      <w:pPr>
        <w:pStyle w:val="Heading2"/>
      </w:pPr>
      <w:r>
        <w:t xml:space="preserve">9. MATLAB 代码文件与用法</w:t>
      </w:r>
    </w:p>
    <w:bookmarkStart w:id="31" w:name="数据文件核心"/>
    <w:p>
      <w:pPr>
        <w:pStyle w:val="Heading3"/>
      </w:pPr>
      <w:r>
        <w:t xml:space="preserve">9.1 数据文件（核心）</w:t>
      </w:r>
    </w:p>
    <w:p>
      <w:pPr>
        <w:pStyle w:val="FirstParagraph"/>
      </w:pPr>
      <w:r>
        <w:rPr>
          <w:rStyle w:val="VerbatimChar"/>
          <w:bCs/>
          <w:b/>
        </w:rPr>
        <w:t xml:space="preserve">matlab/case39_ehnw.m</w:t>
      </w:r>
      <w:r>
        <w:t xml:space="preserve"> </w:t>
      </w:r>
      <w:r>
        <w:t xml:space="preserve">— 算例主数据：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baseMVA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slackBus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nBus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busPd0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21 个负荷节点基准有功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branch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46 条支路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10 台机组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genOps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运行参数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rStyle w:val="VerbatimChar"/>
          <w:bCs/>
          <w:b/>
        </w:rPr>
        <w:t xml:space="preserve">matlab/weather_scenario.m</w:t>
      </w:r>
      <w:r>
        <w:t xml:space="preserve"> </w:t>
      </w:r>
      <w:r>
        <w:t xml:space="preserve">— 气象与荷侧参数：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dt_h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T_amb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wind_speed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irradiance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... 其余参数见源文件</w:t>
      </w:r>
      <w:r>
        <w:br/>
      </w:r>
      <w:r>
        <w:rPr>
          <w:rStyle w:val="KeywordTok"/>
        </w:rPr>
        <w:t xml:space="preserve">end</w:t>
      </w:r>
    </w:p>
    <w:bookmarkEnd w:id="31"/>
    <w:bookmarkStart w:id="32" w:name="辅助脚本"/>
    <w:p>
      <w:pPr>
        <w:pStyle w:val="Heading3"/>
      </w:pPr>
      <w:r>
        <w:t xml:space="preserve">9.2 辅助脚本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print_case39_ehnw_data.m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在命令窗口打印本文档全部表格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derate_sources.m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计算源侧降容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</m:oMath>
            <w:r>
              <w:t xml:space="preserve">、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source_dispatch_bounds.m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计算调度下界/上界（含爬坡、水电电量）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计算荷侧温度修正需求与三级拆分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build_and_solve_dcopf.m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构建并用 Gurobi 求解 DC-OPF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run_extreme_heat_opf.m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主程序入口</w:t>
            </w:r>
          </w:p>
        </w:tc>
      </w:tr>
    </w:tbl>
    <w:bookmarkEnd w:id="32"/>
    <w:bookmarkStart w:id="33" w:name="运行步骤"/>
    <w:p>
      <w:pPr>
        <w:pStyle w:val="Heading3"/>
      </w:pPr>
      <w:r>
        <w:t xml:space="preserve">9.3 运行步骤</w:t>
      </w:r>
    </w:p>
    <w:p>
      <w:pPr>
        <w:pStyle w:val="SourceCode"/>
      </w:pPr>
      <w:r>
        <w:rPr>
          <w:rStyle w:val="CommentTok"/>
        </w:rPr>
        <w:t xml:space="preserve">% 1) 配置 Gurobi（首次）</w:t>
      </w:r>
      <w:r>
        <w:br/>
      </w:r>
      <w:r>
        <w:rPr>
          <w:rStyle w:val="VariableTok"/>
        </w:rPr>
        <w:t xml:space="preserve">addpath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'/opt/gurobi/matlab'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按实际路径修改</w:t>
      </w:r>
      <w:r>
        <w:br/>
      </w:r>
      <w:r>
        <w:rPr>
          <w:rStyle w:val="VariableTok"/>
        </w:rPr>
        <w:t xml:space="preserve">gurobi_setup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2) 查看完整算例数据</w:t>
      </w:r>
      <w:r>
        <w:br/>
      </w: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print_case39_ehnw_data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3) 加载数据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sc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4) 运行极热场景最优调度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3"/>
    <w:bookmarkStart w:id="34" w:name="期望求解结果t40-v2-ms"/>
    <w:p>
      <w:pPr>
        <w:pStyle w:val="Heading3"/>
      </w:pPr>
      <w:r>
        <w:t xml:space="preserve">9.4 期望求解结果（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m/s）</w:t>
      </w:r>
    </w:p>
    <w:p>
      <w:pPr>
        <w:pStyle w:val="SourceCode"/>
      </w:pPr>
      <w:r>
        <w:rPr>
          <w:rStyle w:val="VerbatimChar"/>
        </w:rPr>
        <w:t xml:space="preserve">目标函数最优值  : 1011492.52  ($/h)</w:t>
      </w:r>
      <w:r>
        <w:br/>
      </w:r>
      <w:r>
        <w:rPr>
          <w:rStyle w:val="VerbatimChar"/>
        </w:rPr>
        <w:t xml:space="preserve">  发电成本      :   248686.62  ($/h)</w:t>
      </w:r>
      <w:r>
        <w:br/>
      </w:r>
      <w:r>
        <w:rPr>
          <w:rStyle w:val="VerbatimChar"/>
        </w:rPr>
        <w:t xml:space="preserve">  切负荷惩罚成本:   762805.90  ($/h)</w:t>
      </w:r>
      <w:r>
        <w:br/>
      </w:r>
      <w:r>
        <w:rPr>
          <w:rStyle w:val="VerbatimChar"/>
        </w:rPr>
        <w:t xml:space="preserve">极热修正后总需求 : 6754.6 MW</w:t>
      </w:r>
      <w:r>
        <w:br/>
      </w:r>
      <w:r>
        <w:rPr>
          <w:rStyle w:val="VerbatimChar"/>
        </w:rPr>
        <w:t xml:space="preserve">总切负荷         :  762.8 MW (11.29%，全部为三级可中断负荷)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数据文件对照"/>
    <w:p>
      <w:pPr>
        <w:pStyle w:val="Heading2"/>
      </w:pPr>
      <w:r>
        <w:t xml:space="preserve">10. 数据文件对照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matlab/case39_ehnw.m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气象场景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matlab/weather_scenario.m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开源验证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verify/verify_dcopf.py</w:t>
            </w:r>
          </w:p>
        </w:tc>
      </w:tr>
    </w:tbl>
    <w:p>
      <w:pPr>
        <w:pStyle w:val="BodyText"/>
      </w:pPr>
      <w:r>
        <w:t xml:space="preserve">两套实现数值完全一致，可在无 MATLAB/Gurobi 时用 Python 交叉校验。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数据来源：MATPOWER case39 (New England 39-bus system)。修改版用于极热无风源-荷失衡最优调度研究。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2026-06-26T04:13:45Z</dcterms:created>
  <dcterms:modified xsi:type="dcterms:W3CDTF">2026-06-26T04:13:45Z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