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热故障-源荷失衡场景下-dc-opf-遍历与切负荷统计"/>
    <w:p>
      <w:pPr>
        <w:pStyle w:val="Heading1"/>
      </w:pPr>
      <w:r>
        <w:t xml:space="preserve">热故障 + 源荷失衡场景下 DC-OPF 遍历与切负荷统计</w:t>
      </w:r>
    </w:p>
    <w:p>
      <w:pPr>
        <w:pStyle w:val="FirstParagraph"/>
      </w:pPr>
      <w:r>
        <w:t xml:space="preserve">本文档对应</w:t>
      </w:r>
      <w:r>
        <w:t xml:space="preserve"> </w:t>
      </w:r>
      <w:r>
        <w:rPr>
          <w:rStyle w:val="VerbatimChar"/>
        </w:rPr>
        <w:t xml:space="preserve">verify/fault_scenarios_2000.csv</w:t>
      </w:r>
      <w:r>
        <w:t xml:space="preserve"> </w:t>
      </w:r>
      <w:r>
        <w:t xml:space="preserve">中的 2000 个蒙特卡洛故障场景。每个场景为 85 维 0/1 向量：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[G_1,</w:t>
      </w:r>
      <w:r>
        <w:t xml:space="preserve">,G_{10}, L_1,</w:t>
      </w:r>
      <w:r>
        <w:t xml:space="preserve">,L_{46}, T_1,</w:t>
      </w:r>
      <w:r>
        <w:t xml:space="preserve">,T_{29}]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其中 0 表示故障，1 表示良好。</w:t>
      </w:r>
      <w:r>
        <w:rPr>
          <w:rStyle w:val="VerbatimChar"/>
        </w:rPr>
        <w:t xml:space="preserve">T1..T29</w:t>
      </w:r>
      <w:r>
        <w:t xml:space="preserve"> </w:t>
      </w:r>
      <w:r>
        <w:t xml:space="preserve">对应 IEEE39 修改算例中所有非电源节点的升序列表，即母线 1–29。</w:t>
      </w:r>
    </w:p>
    <w:bookmarkStart w:id="23" w:name="故障场景到-opf-参数的映射"/>
    <w:p>
      <w:pPr>
        <w:pStyle w:val="Heading2"/>
      </w:pPr>
      <w:r>
        <w:t xml:space="preserve">1. 故障场景到 OPF 参数的映射</w:t>
      </w:r>
    </w:p>
    <w:p>
      <w:pPr>
        <w:pStyle w:val="FirstParagraph"/>
      </w:pPr>
      <w:r>
        <w:t xml:space="preserve">对第 (s) 个场景，令发电机、线路、节点变压器状态分别为</w:t>
      </w:r>
      <w:r>
        <w:t xml:space="preserve"> </w:t>
      </w:r>
      <w:r>
        <w:t xml:space="preserve">[</w:t>
      </w:r>
      <w:r>
        <w:t xml:space="preserve"> </w:t>
      </w:r>
      <w:r>
        <w:t xml:space="preserve">z</w:t>
      </w:r>
      <w:r>
        <w:rPr>
          <w:vertAlign w:val="superscript"/>
        </w:rPr>
        <w:t xml:space="preserve">G_{s,g},</w:t>
      </w:r>
      <w:r>
        <w:rPr>
          <w:vertAlign w:val="superscript"/>
        </w:rPr>
        <w:t xml:space="preserve">z</w:t>
      </w:r>
      <w:r>
        <w:t xml:space="preserve">L_{s,l},</w:t>
      </w:r>
      <w:r>
        <w:t xml:space="preserve">z^T_{s,t}</w:t>
      </w:r>
      <w:r>
        <w:t xml:space="preserve">{0,1}.</w:t>
      </w:r>
      <w:r>
        <w:t xml:space="preserve"> </w:t>
      </w:r>
      <w:r>
        <w:t xml:space="preserve">]</w:t>
      </w:r>
    </w:p>
    <w:bookmarkStart w:id="20" w:name="发电机故障"/>
    <w:p>
      <w:pPr>
        <w:pStyle w:val="Heading3"/>
      </w:pPr>
      <w:r>
        <w:t xml:space="preserve">1.1 发电机故障</w:t>
      </w:r>
    </w:p>
    <w:p>
      <w:pPr>
        <w:pStyle w:val="FirstParagraph"/>
      </w:pPr>
      <w:r>
        <w:t xml:space="preserve">若 (z^G_{s,g}=0)，则该机组故障，最大出力置零。实现中同时将调度下界置零，避免原最小技术出力大于零时出现下界超过上界：</w:t>
      </w:r>
    </w:p>
    <w:p>
      <w:pPr>
        <w:pStyle w:val="BodyText"/>
      </w:pPr>
      <w:r>
        <w:t xml:space="preserve">[</w:t>
      </w:r>
      <w:r>
        <w:t xml:space="preserve"> </w:t>
      </w:r>
      <w:r>
        <w:rPr>
          <w:iCs/>
          <w:i/>
        </w:rPr>
        <w:t xml:space="preserve">{g,s}=0,</w:t>
      </w:r>
      <w:r>
        <w:rPr>
          <w:iCs/>
          <w:i/>
        </w:rPr>
        <w:t xml:space="preserve">P</w:t>
      </w:r>
      <w:r>
        <w:t xml:space="preserve">{g,s}=0.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健康机组仍采用极热无风场景下的原调度上下界。</w:t>
      </w:r>
    </w:p>
    <w:bookmarkEnd w:id="20"/>
    <w:bookmarkStart w:id="21" w:name="线路故障"/>
    <w:p>
      <w:pPr>
        <w:pStyle w:val="Heading3"/>
      </w:pPr>
      <w:r>
        <w:t xml:space="preserve">1.2 线路故障</w:t>
      </w:r>
    </w:p>
    <w:p>
      <w:pPr>
        <w:pStyle w:val="FirstParagraph"/>
      </w:pPr>
      <w:r>
        <w:t xml:space="preserve">若 (z^L_{s,l}=0)，则第 (l) 条支路退出 DC 网络，其潮流记为 0。实现时不再把该支路电纳加入 (B_{</w:t>
      </w:r>
      <w:r>
        <w:t xml:space="preserve">})，也不再对该支路建立潮流约束：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f_{l,s}=0.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说明：用户描述为“线路潮流为零（即限额为零）”。在 DC-OPF 中，如果保留支路电纳但把限额设为 0，会强制两端相角相等，等价于仍保持电气连接；这不符合线路退出的物理含义。因此代码采用“支路退出 + 报告潮流为 0”的实现。</w:t>
      </w:r>
    </w:p>
    <w:bookmarkEnd w:id="21"/>
    <w:bookmarkStart w:id="22" w:name="节点变压器故障"/>
    <w:p>
      <w:pPr>
        <w:pStyle w:val="Heading3"/>
      </w:pPr>
      <w:r>
        <w:t xml:space="preserve">1.3 节点变压器故障</w:t>
      </w:r>
    </w:p>
    <w:p>
      <w:pPr>
        <w:pStyle w:val="FirstParagraph"/>
      </w:pPr>
      <w:r>
        <w:t xml:space="preserve">若节点变压器 (T_t) 故障，其所在非电源节点为 (b_t)，则所有与该节点相连的支路均退出：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a_{s,l}=z^L_{s,l}</w:t>
      </w:r>
      <w:r>
        <w:t xml:space="preserve">(f_l</w:t>
      </w:r>
      <w:r>
        <w:t xml:space="preserve">=b_t)</w:t>
      </w:r>
      <w:r>
        <w:t xml:space="preserve">(t_l</w:t>
      </w:r>
      <w:r>
        <w:t xml:space="preserve">=b_t),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其中 (a_{s,l}) 是最终用于 OPF 的支路可用性。若该节点有负荷，节点功率平衡会强制该节点负荷由切负荷变量吸收，因此体现“变压器所在节点功率为零”。</w:t>
      </w:r>
    </w:p>
    <w:bookmarkEnd w:id="22"/>
    <w:bookmarkEnd w:id="23"/>
    <w:bookmarkStart w:id="24" w:name="故障后-dc-opf"/>
    <w:p>
      <w:pPr>
        <w:pStyle w:val="Heading2"/>
      </w:pPr>
      <w:r>
        <w:t xml:space="preserve">2. 故障后 DC-OPF</w:t>
      </w:r>
    </w:p>
    <w:p>
      <w:pPr>
        <w:pStyle w:val="FirstParagraph"/>
      </w:pPr>
      <w:r>
        <w:t xml:space="preserve">每个故障场景均代入第二步 DC-OPF：</w:t>
      </w:r>
    </w:p>
    <w:p>
      <w:pPr>
        <w:pStyle w:val="BodyText"/>
      </w:pPr>
      <w:r>
        <w:t xml:space="preserve">[</w:t>
      </w:r>
      <w:r>
        <w:t xml:space="preserve"> </w:t>
      </w:r>
      <w:r>
        <w:rPr>
          <w:iCs/>
          <w:i/>
        </w:rPr>
        <w:t xml:space="preserve">g(c</w:t>
      </w:r>
      <w:r>
        <w:t xml:space="preserve">{2,g}P_{g,s}^2+c_{1,g}P_{g,s})</w:t>
      </w:r>
      <w:r>
        <w:t xml:space="preserve"> </w:t>
      </w:r>
      <w:r>
        <w:t xml:space="preserve">+</w:t>
      </w:r>
      <w:r>
        <w:t xml:space="preserve">_{i,k}</w:t>
      </w:r>
      <w:r>
        <w:rPr>
          <w:iCs/>
          <w:i/>
        </w:rPr>
        <w:t xml:space="preserve">k,</w:t>
      </w:r>
      <w:r>
        <w:rPr>
          <w:iCs/>
          <w:i/>
        </w:rPr>
        <w:t xml:space="preserve">D</w:t>
      </w:r>
      <w:r>
        <w:t xml:space="preserve">{i,k,s}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约束仍包括节点功率平衡、机组调度上下界、切负荷上下界、平衡节点相角，以及健康支路潮流限额。区别是 (B_{</w:t>
      </w:r>
      <w:r>
        <w:t xml:space="preserve">})、机组上下界和支路集合均随故障场景变化。</w:t>
      </w:r>
    </w:p>
    <w:p>
      <w:pPr>
        <w:pStyle w:val="BodyText"/>
      </w:pPr>
      <w:r>
        <w:t xml:space="preserve">若原调度约束下某场景不可行（例如故障造成含最小技术出力机组的孤岛，但该孤岛无足够负荷吸收），该场景状态记录为</w:t>
      </w:r>
      <w:r>
        <w:t xml:space="preserve"> </w:t>
      </w:r>
      <w:r>
        <w:rPr>
          <w:rStyle w:val="VerbatimChar"/>
        </w:rPr>
        <w:t xml:space="preserve">infeasible</w:t>
      </w:r>
      <w:r>
        <w:t xml:space="preserve">，不混入切负荷分布的分位数统计。</w:t>
      </w:r>
    </w:p>
    <w:bookmarkEnd w:id="24"/>
    <w:bookmarkStart w:id="25" w:name="代码与输出文件"/>
    <w:p>
      <w:pPr>
        <w:pStyle w:val="Heading2"/>
      </w:pPr>
      <w:r>
        <w:t xml:space="preserve">3. 代码与输出文件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verify/evaluate_fault_scenarios.py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Python/cvxpy 遍历 2000 个故障场景并求解故障后 DC-OPF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verify/verify_dcopf.py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gen_available</w:t>
            </w:r>
            <w:r>
              <w:t xml:space="preserve">、</w:t>
            </w:r>
            <w:r>
              <w:rPr>
                <w:rStyle w:val="VerbatimChar"/>
              </w:rPr>
              <w:t xml:space="preserve">branch_available</w:t>
            </w:r>
            <w:r>
              <w:t xml:space="preserve"> </w:t>
            </w:r>
            <w:r>
              <w:t xml:space="preserve">掩码，保持原基准调用兼容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matlab/evaluate_fault_scenarios.m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MATLAB/Gurobi 版本的故障场景遍历入口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matlab/build_and_solve_dcopf.m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新增发电机/支路可用性掩码，支持故障后 OPF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verify/fault_scenario_opf_summary.csv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每个场景的状态、总切负荷、分等级切负荷、故障元件列表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verify/fault_scenario_bus_shed.csv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每个场景、每个负荷节点的切负荷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verify/fault_scenario_opf_stats.json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 场景总体统计与分布</w:t>
            </w:r>
          </w:p>
        </w:tc>
      </w:tr>
    </w:tbl>
    <w:p>
      <w:pPr>
        <w:pStyle w:val="BodyText"/>
      </w:pPr>
      <w:r>
        <w:t xml:space="preserve">运行方式：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verify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evaluate_fault_scenarios.py</w:t>
      </w:r>
    </w:p>
    <w:p>
      <w:pPr>
        <w:pStyle w:val="FirstParagraph"/>
      </w:pPr>
      <w:r>
        <w:t xml:space="preserve">MATLAB/Gurobi：</w:t>
      </w:r>
    </w:p>
    <w:p>
      <w:pPr>
        <w:pStyle w:val="SourceCode"/>
      </w:pPr>
      <w:r>
        <w:rPr>
          <w:rStyle w:val="Variable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matlab</w:t>
      </w:r>
      <w:r>
        <w:br/>
      </w:r>
      <w:r>
        <w:rPr>
          <w:rStyle w:val="VariableTok"/>
        </w:rPr>
        <w:t xml:space="preserve">stats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evaluate_fault_scenarios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5"/>
    <w:bookmarkStart w:id="26" w:name="个场景的切负荷统计"/>
    <w:p>
      <w:pPr>
        <w:pStyle w:val="Heading2"/>
      </w:pPr>
      <w:r>
        <w:t xml:space="preserve">4. 2000 个场景的切负荷统计</w:t>
      </w:r>
    </w:p>
    <w:p>
      <w:pPr>
        <w:pStyle w:val="FirstParagraph"/>
      </w:pPr>
      <w:r>
        <w:t xml:space="preserve">基准极热无风、无元件故障时：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D_{</w:t>
      </w:r>
      <w:r>
        <w:t xml:space="preserve">}=6754.5684 </w:t>
      </w:r>
      <w:r>
        <w:t xml:space="preserve">,</w:t>
      </w:r>
      <w:r>
        <w:t xml:space="preserve"> </w:t>
      </w:r>
      <w:r>
        <w:t xml:space="preserve">D_0=762.8059 </w:t>
      </w:r>
      <w:r>
        <w:t xml:space="preserve">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2000 个故障场景中：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场景数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infeasible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</w:tr>
    </w:tbl>
    <w:p>
      <w:pPr>
        <w:pStyle w:val="BodyText"/>
      </w:pPr>
      <w:r>
        <w:t xml:space="preserve">下表仅对 1976 个可解场景统计：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总切负荷 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相对基准新增切负荷 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最小值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762.806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平均值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940.292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177.487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标准差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365.466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365.466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分位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762.806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25% 分位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762.806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中位数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762.806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75% 分位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762.806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分位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1542.806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95% 分位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1765.556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1002.750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99% 分位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2250.206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1487.400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最大值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3330.397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2567.592</w:t>
            </w:r>
          </w:p>
        </w:tc>
      </w:tr>
    </w:tbl>
    <w:p>
      <w:pPr>
        <w:pStyle w:val="BodyText"/>
      </w:pPr>
      <w:r>
        <w:t xml:space="preserve">分等级切负荷统计（可解场景）：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667"/>
        <w:gridCol w:w="1667"/>
        <w:gridCol w:w="1667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负荷等级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平均切负荷 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分位 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最大值 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出现正切负荷的样本比例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一级关键负荷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112.752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二级重要负荷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315.472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三级可中断负荷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939.575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1765.556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3330.397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100.000%</w:t>
            </w:r>
          </w:p>
        </w:tc>
      </w:tr>
    </w:tbl>
    <w:p>
      <w:pPr>
        <w:pStyle w:val="BodyText"/>
      </w:pPr>
      <w:r>
        <w:t xml:space="preserve">可解场景中，约 22.87% 出现了超过基准极热缺口的新增切负荷；其余多数场景的元件故障没有进一步恶化系统切负荷，仍保持 762.806 MW 的基准水平。</w:t>
      </w:r>
    </w:p>
    <w:bookmarkEnd w:id="26"/>
    <w:bookmarkStart w:id="27" w:name="典型严重场景"/>
    <w:p>
      <w:pPr>
        <w:pStyle w:val="Heading2"/>
      </w:pPr>
      <w:r>
        <w:t xml:space="preserve">5. 典型严重场景</w:t>
      </w:r>
    </w:p>
    <w:p>
      <w:pPr>
        <w:pStyle w:val="FirstParagraph"/>
      </w:pPr>
      <w:r>
        <w:t xml:space="preserve">总切负荷最大的场景主要由多台大容量火电机组故障造成：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场景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总切负荷 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切负荷率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主要故障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3330.397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49.31%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G2, G4, G10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3325.556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49.23%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G2, G3, G10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2667.820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G2, G10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2643.056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39.13%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G9, G10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2643.056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39.13%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G9, G10</w:t>
            </w:r>
          </w:p>
        </w:tc>
      </w:tr>
    </w:tbl>
    <w:p>
      <w:pPr>
        <w:pStyle w:val="BodyText"/>
      </w:pPr>
      <w:r>
        <w:t xml:space="preserve">不可行场景通常与网络割裂或含最小技术出力机组的孤岛有关。例如 L46、L14、L33 等支路故障可造成局部孤岛；若孤岛内机组受原调度下界约束而无法平衡，则原模型判定不可行。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2026-06-27T13:18:16Z</dcterms:created>
  <dcterms:modified xsi:type="dcterms:W3CDTF">2026-06-27T13:18:16Z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