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二步-源-荷失衡最优潮流调度优化模型dc-opf-gurobi"/>
    <w:p>
      <w:pPr>
        <w:pStyle w:val="Heading1"/>
      </w:pPr>
      <w:r>
        <w:t xml:space="preserve">第二步　源-荷失衡最优潮流调度优化模型（DC-OPF + Gurobi）</w:t>
      </w:r>
    </w:p>
    <w:p>
      <w:pPr>
        <w:pStyle w:val="FirstParagraph"/>
      </w:pPr>
      <w:r>
        <w:t xml:space="preserve">在第一步源侧/荷侧失衡模型基础上，本节基于</w:t>
      </w:r>
      <w:r>
        <w:rPr>
          <w:bCs/>
          <w:b/>
        </w:rPr>
        <w:t xml:space="preserve">修改版 IEEE 39 节点算例</w:t>
      </w:r>
      <w:r>
        <w:t xml:space="preserve">，建立以</w:t>
      </w:r>
      <w:r>
        <w:t xml:space="preserve"> </w:t>
      </w:r>
      <w:r>
        <w:rPr>
          <w:bCs/>
          <w:b/>
        </w:rPr>
        <w:t xml:space="preserve">最小化”切负荷惩罚成本 + 发电成本”</w:t>
      </w:r>
      <w:r>
        <w:t xml:space="preserve"> </w:t>
      </w:r>
      <w:r>
        <w:t xml:space="preserve">为目标、计及</w:t>
      </w:r>
      <w:r>
        <w:rPr>
          <w:bCs/>
          <w:b/>
        </w:rPr>
        <w:t xml:space="preserve">直流最优潮流约束</w:t>
      </w:r>
      <w:r>
        <w:t xml:space="preserve">与</w:t>
      </w:r>
      <w:r>
        <w:rPr>
          <w:bCs/>
          <w:b/>
        </w:rPr>
        <w:t xml:space="preserve">源侧/荷侧约束</w:t>
      </w:r>
      <w:r>
        <w:t xml:space="preserve">的</w:t>
      </w:r>
      <w:r>
        <w:t xml:space="preserve"> </w:t>
      </w:r>
      <w:r>
        <w:t xml:space="preserve">最优潮流优化调度模型，并用</w:t>
      </w:r>
      <w:r>
        <w:t xml:space="preserve"> </w:t>
      </w:r>
      <w:r>
        <w:rPr>
          <w:bCs/>
          <w:b/>
        </w:rPr>
        <w:t xml:space="preserve">MATLAB 中的 Gurobi</w:t>
      </w:r>
      <w:r>
        <w:t xml:space="preserve"> </w:t>
      </w:r>
      <w:r>
        <w:t xml:space="preserve">求解极热场景下系统运行的</w:t>
      </w:r>
      <w:r>
        <w:rPr>
          <w:bCs/>
          <w:b/>
        </w:rPr>
        <w:t xml:space="preserve">基准状态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算例修改修改版-ieee-39-节点系统"/>
    <w:p>
      <w:pPr>
        <w:pStyle w:val="Heading2"/>
      </w:pPr>
      <w:r>
        <w:t xml:space="preserve">1．算例修改：修改版 IEEE 39 节点系统</w:t>
      </w:r>
    </w:p>
    <w:p>
      <w:pPr>
        <w:pStyle w:val="FirstParagraph"/>
      </w:pPr>
      <w:r>
        <w:t xml:space="preserve">以 MATPOWER</w:t>
      </w:r>
      <w:r>
        <w:t xml:space="preserve"> </w:t>
      </w:r>
      <w:r>
        <w:rPr>
          <w:rStyle w:val="VerbatimChar"/>
        </w:rPr>
        <w:t xml:space="preserve">case39</w:t>
      </w:r>
      <w:r>
        <w:t xml:space="preserve">（New England，10 机 39 节点，46 支路，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）为蓝本，</w:t>
      </w:r>
      <w:r>
        <w:t xml:space="preserve">“</w:t>
      </w:r>
      <w:r>
        <w:t xml:space="preserve">适当修改节点数据</w:t>
      </w:r>
      <w:r>
        <w:t xml:space="preserve">”</w:t>
      </w:r>
      <w:r>
        <w:t xml:space="preserve">使其覆盖四类机组与各类负荷。</w:t>
      </w:r>
    </w:p>
    <w:bookmarkStart w:id="20" w:name="发电机组含四种类型"/>
    <w:p>
      <w:pPr>
        <w:pStyle w:val="Heading3"/>
      </w:pPr>
      <w:r>
        <w:t xml:space="preserve">1.1 发电机组（含四种类型）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188"/>
        <w:gridCol w:w="792"/>
        <w:gridCol w:w="1386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/MW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最小出力率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p>
      <w:pPr>
        <w:pStyle w:val="BlockText"/>
      </w:pPr>
      <w:r>
        <w:t xml:space="preserve">四类齐备：火电 {31,32,33,34,38,39}、水电 {30}、风电 {35,37}、光伏 {36}；铭牌总容量 7000 MW。</w:t>
      </w:r>
      <w:r>
        <w:t xml:space="preserve"> </w:t>
      </w:r>
      <w:r>
        <w:t xml:space="preserve">发电成本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（$/h），燃气&gt;燃煤&gt;水电，风/光边际成本为 0。</w:t>
      </w:r>
    </w:p>
    <w:p>
      <w:pPr>
        <w:pStyle w:val="FirstParagraph"/>
      </w:pPr>
      <w:r>
        <w:rPr>
          <w:bCs/>
          <w:b/>
        </w:rPr>
        <w:t xml:space="preserve">机组运行参数</w:t>
      </w:r>
      <w:r>
        <w:t xml:space="preserve">（</w:t>
      </w:r>
      <w:r>
        <w:rPr>
          <w:rStyle w:val="VerbatimChar"/>
        </w:rPr>
        <w:t xml:space="preserve">mpc.genOps</w:t>
      </w:r>
      <w:r>
        <w:t xml:space="preserve">，用于调度区间/爬坡/水库电量约束）：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G2–G3,G5,G9 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G4,G10 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G6,G8 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取 MATPOWER case39 同母线原始出力（风光机组取 0）；调度时段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0"/>
    <w:bookmarkStart w:id="21" w:name="负荷含全部分类"/>
    <w:p>
      <w:pPr>
        <w:pStyle w:val="Heading3"/>
      </w:pPr>
      <w:r>
        <w:t xml:space="preserve">1.2 负荷（含全部分类）</w:t>
      </w:r>
    </w:p>
    <w:p>
      <w:pPr>
        <w:pStyle w:val="FirstParagraph"/>
      </w:pPr>
      <w:r>
        <w:t xml:space="preserve">沿用 IEEE39 的 21 个负荷节点的基准有功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（全网 6254.23 MW）。每个负荷节点按第一步：</w:t>
      </w:r>
    </w:p>
    <w:p>
      <w:pPr>
        <w:numPr>
          <w:ilvl w:val="0"/>
          <w:numId w:val="1001"/>
        </w:numPr>
        <w:pStyle w:val="Compact"/>
      </w:pPr>
      <w:r>
        <w:t xml:space="preserve">温度维度：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刚性 +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温敏；</w:t>
      </w:r>
    </w:p>
    <w:p>
      <w:pPr>
        <w:numPr>
          <w:ilvl w:val="0"/>
          <w:numId w:val="1001"/>
        </w:numPr>
        <w:pStyle w:val="Compact"/>
      </w:pPr>
      <w:r>
        <w:t xml:space="preserve">等级维度：一级 0.20 / 二级 0.30 / 三级 0.50，对应 VOLL = 10000 / 5000 / 1000 $/MWh。</w:t>
      </w:r>
    </w:p>
    <w:p>
      <w:pPr>
        <w:pStyle w:val="FirstParagraph"/>
      </w:pPr>
      <w:r>
        <w:t xml:space="preserve">支路电抗、限额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f</m:t>
                </m:r>
              </m:e>
            </m:bar>
          </m:e>
          <m:sub>
            <m:r>
              <m:t>l</m:t>
            </m:r>
          </m:sub>
        </m:sSub>
      </m:oMath>
      <w:r>
        <w:t xml:space="preserve">（rateA）、变压器变比 tap 取自 case39。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优化调度模型"/>
    <w:p>
      <w:pPr>
        <w:pStyle w:val="Heading2"/>
      </w:pPr>
      <w:r>
        <w:t xml:space="preserve">2．优化调度模型</w:t>
      </w:r>
    </w:p>
    <w:bookmarkStart w:id="23" w:name="决策变量"/>
    <w:p>
      <w:pPr>
        <w:pStyle w:val="Heading3"/>
      </w:pPr>
      <w:r>
        <w:t xml:space="preserve">2.1 决策变量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机组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有功出力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电压相角 (rad)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负荷节点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级切负荷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</w:tr>
    </w:tbl>
    <w:p>
      <w:pPr>
        <w:pStyle w:val="BodyText"/>
      </w:pPr>
      <w:r>
        <w:t xml:space="preserve">向量化排列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 </m:t>
            </m:r>
            <m:sSub>
              <m:e>
                <m:r>
                  <m:rPr>
                    <m:sty m:val="b"/>
                  </m:rPr>
                  <m:t>P</m:t>
                </m:r>
              </m:e>
              <m:sub>
                <m:r>
                  <m:rPr>
                    <m:sty m:val="b"/>
                  </m:rPr>
                  <m:t>G</m:t>
                </m:r>
              </m:sub>
            </m:sSub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θ</m:t>
            </m:r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s</m:t>
            </m:r>
            <m:r>
              <m:t> </m:t>
            </m:r>
          </m:e>
        </m:d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build_and_solve_dcopf.m</w:t>
      </w:r>
      <w:r>
        <w:t xml:space="preserve"> </w:t>
      </w:r>
      <w:r>
        <w:t xml:space="preserve">一致）。</w:t>
      </w:r>
    </w:p>
    <w:bookmarkEnd w:id="23"/>
    <w:bookmarkStart w:id="24" w:name="目标函数"/>
    <w:p>
      <w:pPr>
        <w:pStyle w:val="Heading3"/>
      </w:pPr>
      <w:r>
        <w:t xml:space="preserve">2.2 目标函数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 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rPr>
                      <m:sty m:val="b"/>
                    </m:rPr>
                    <m:t>x</m:t>
                  </m:r>
                </m:lim>
              </m:limLow>
              <m:r>
                <m:t> 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Sup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发电成本</m:t>
                  </m:r>
                </m:lim>
              </m:limLow>
              <m:r>
                <m:t> </m:t>
              </m:r>
              <m:r>
                <m:rPr>
                  <m:sty m:val="p"/>
                </m:rPr>
                <m:t>+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D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  <m:r>
                                    <m:rPr>
                                      <m:sty m:val="p"/>
                                    </m:rPr>
                                    <m:t>O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切负荷惩罚成本</m:t>
                  </m:r>
                </m:lim>
              </m:limLow>
              <m:r>
                <m:t> </m:t>
              </m:r>
            </m:e>
          </m:borderBox>
        </m:oMath>
      </m:oMathPara>
    </w:p>
    <w:p>
      <w:pPr>
        <w:pStyle w:val="FirstParagraph"/>
      </w:pPr>
      <w:r>
        <w:t xml:space="preserve">由于含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，模型为</w:t>
      </w:r>
      <w:r>
        <w:rPr>
          <w:bCs/>
          <w:b/>
        </w:rPr>
        <w:t xml:space="preserve">凸二次规划（QP）</w:t>
      </w:r>
      <w:r>
        <w:t xml:space="preserve">，由 Gurobi 直接求解。</w:t>
      </w:r>
    </w:p>
    <w:bookmarkEnd w:id="24"/>
    <w:bookmarkStart w:id="30" w:name="约束条件"/>
    <w:p>
      <w:pPr>
        <w:pStyle w:val="Heading3"/>
      </w:pPr>
      <w:r>
        <w:t xml:space="preserve">2.3 约束条件</w:t>
      </w:r>
    </w:p>
    <w:bookmarkStart w:id="25" w:name="直流潮流节点功率平衡每节点一条等式共-n_b-条"/>
    <w:p>
      <w:pPr>
        <w:pStyle w:val="Heading4"/>
      </w:pPr>
      <w:r>
        <w:t xml:space="preserve">(1) 直流潮流节点功率平衡（每节点一条等式，共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条）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b"/>
                    </m:rPr>
                    <m:t>θ</m:t>
                  </m:r>
                </m:e>
              </m:d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e>
              <m:r>
                <m:t>s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n</m:t>
          </m:r>
        </m:oMath>
      </m:oMathPara>
    </w:p>
    <w:p>
      <w:pPr>
        <w:pStyle w:val="FirstParagraph"/>
      </w:pPr>
      <w:r>
        <w:t xml:space="preserve">其中节点电纳矩阵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由支路串联电纳</w:t>
      </w:r>
      <w:r>
        <w:t xml:space="preserve"> </w:t>
      </w:r>
      <m:oMath>
        <m:sSub>
          <m:e>
            <m:r>
              <m:t>b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  <m:r>
              <m:t> 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装配：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∋</m:t>
            </m:r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l</m:t>
                </m:r>
              </m:sub>
            </m:sSub>
          </m:e>
        </m:nary>
      </m:oMath>
      <w:r>
        <w:t xml:space="preserve">，</w:t>
      </w:r>
      <m:oMath>
        <m:sSub>
          <m:e>
            <m:r>
              <m:t>B</m:t>
            </m:r>
          </m:e>
          <m:sub>
            <m:r>
              <m:t>n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（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为支路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两端）。等式右端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为节点温度修正需求（非负荷节点取 0）。</w:t>
      </w:r>
    </w:p>
    <w:bookmarkEnd w:id="25"/>
    <w:bookmarkStart w:id="26" w:name="源侧机组调度约束分类型对应第一步-a-节"/>
    <w:p>
      <w:pPr>
        <w:pStyle w:val="Heading4"/>
      </w:pPr>
      <w:r>
        <w:t xml:space="preserve">(2) 源侧机组调度约束（分类型，对应第一步 A 节）</w:t>
      </w:r>
    </w:p>
    <w:p>
      <w:pPr>
        <w:pStyle w:val="FirstParagraph"/>
      </w:pPr>
      <w:r>
        <w:t xml:space="preserve">极热无风下，四类机组的</w:t>
      </w:r>
      <w:r>
        <w:rPr>
          <w:bCs/>
          <w:b/>
        </w:rPr>
        <w:t xml:space="preserve">最大出力</w:t>
      </w:r>
      <w:r>
        <w:t xml:space="preserve">由第一步降容公式给出；</w:t>
      </w:r>
      <w:r>
        <w:rPr>
          <w:bCs/>
          <w:b/>
        </w:rPr>
        <w:t xml:space="preserve">调度可行区间</w:t>
      </w:r>
      <w:r>
        <w:t xml:space="preserve">在单时段快照（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）下实现为变量上下界</w:t>
      </w:r>
      <w:r>
        <w:t xml:space="preserve"> </w:t>
      </w:r>
      <m:oMath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≤</m:t>
        </m:r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，由</w:t>
      </w:r>
      <w:r>
        <w:t xml:space="preserve"> </w:t>
      </w:r>
      <w:r>
        <w:rPr>
          <w:rStyle w:val="VerbatimChar"/>
        </w:rPr>
        <w:t xml:space="preserve">source_dispatch_bounds.m</w:t>
      </w:r>
      <w:r>
        <w:t xml:space="preserve"> </w:t>
      </w:r>
      <w:r>
        <w:t xml:space="preserve">计算。</w:t>
      </w:r>
    </w:p>
    <w:p>
      <w:pPr>
        <w:pStyle w:val="BodyText"/>
      </w:pPr>
      <w:r>
        <w:rPr>
          <w:bCs/>
          <w:b/>
        </w:rPr>
        <w:t xml:space="preserve">(2a) 火电机组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，可调度）</w:t>
      </w:r>
    </w:p>
    <w:p>
      <w:pPr>
        <w:pStyle w:val="BodyText"/>
      </w:pPr>
      <w:r>
        <w:t xml:space="preserve">高温降容上限与最小技术出力（第一步 A.1）：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λ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单时段爬坡约束（相对基准出力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、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；燃煤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，燃气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0.50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(2b) 水电机组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</m:sub>
        </m:sSub>
      </m:oMath>
      <w:r>
        <w:t xml:space="preserve">，灵活调峰）</w:t>
      </w:r>
    </w:p>
    <w:p>
      <w:pPr>
        <w:pStyle w:val="BodyText"/>
      </w:pPr>
      <w:r>
        <w:t xml:space="preserve">枯水折减上限（第一步 A.2）：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</m:oMath>
      </m:oMathPara>
    </w:p>
    <w:p>
      <w:pPr>
        <w:pStyle w:val="FirstParagraph"/>
      </w:pPr>
      <w:r>
        <w:t xml:space="preserve">水库可用电量约束（单时段）：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 </m:t>
          </m:r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t> </m:t>
          </m:r>
          <m:r>
            <m:t>Δ</m:t>
          </m:r>
          <m:r>
            <m:t>t</m:t>
          </m:r>
        </m:oMath>
      </m:oMathPara>
    </w:p>
    <w:p>
      <w:pPr>
        <w:pStyle w:val="FirstParagraph"/>
      </w:pPr>
      <w:r>
        <w:t xml:space="preserve">综合调度区间（含快速爬坡，</w:t>
      </w:r>
      <m:oMath>
        <m:r>
          <m:t>η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(2c) 风电机组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w</m:t>
            </m:r>
          </m:sub>
        </m:sSub>
      </m:oMath>
      <w:r>
        <w:t xml:space="preserve">，不可调度，可弃风）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由分段风速-功率曲线给出；极热无风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</m:oMath>
      <w:r>
        <w:t xml:space="preserve"> </w:t>
      </w:r>
      <w:r>
        <w:t xml:space="preserve">时</w:t>
      </w:r>
      <w:r>
        <w:t xml:space="preserve"> </w:t>
      </w: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r>
          <m:rPr>
            <m:sty m:val="p"/>
          </m:rPr>
          <m:t>≈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(2d) 光伏机组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sub>
        </m:sSub>
      </m:oMath>
      <w:r>
        <w:t xml:space="preserve">，不可调度，可弃光）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P</m:t>
            </m:r>
            <m: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含辐照度与电池温度负系数。</w:t>
      </w:r>
    </w:p>
    <w:p>
      <w:pPr>
        <w:pStyle w:val="BlockText"/>
      </w:pPr>
      <w:r>
        <w:rPr>
          <w:bCs/>
          <w:b/>
        </w:rPr>
        <w:t xml:space="preserve">实现说明</w:t>
      </w:r>
      <w:r>
        <w:t xml:space="preserve">：上述 (2a)–(2d) 在 Gurobi 模型中统一通过机组变量界</w:t>
      </w:r>
      <w:r>
        <w:t xml:space="preserve"> </w:t>
      </w:r>
      <m:oMath>
        <m:r>
          <m:rPr>
            <m:nor/>
            <m:sty m:val="p"/>
            <m:scr m:val="monospace"/>
          </m:rPr>
          <m:t>lb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、</w:t>
      </w:r>
      <m:oMath>
        <m:r>
          <m:rPr>
            <m:nor/>
            <m:sty m:val="p"/>
            <m:scr m:val="monospace"/>
          </m:rPr>
          <m:t>ub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施加（见</w:t>
      </w:r>
      <w:r>
        <w:t xml:space="preserve"> </w:t>
      </w:r>
      <w:r>
        <w:rPr>
          <w:rStyle w:val="VerbatimChar"/>
        </w:rPr>
        <w:t xml:space="preserve">matlab/source_dispatch_bounds.m</w:t>
      </w:r>
      <w:r>
        <w:t xml:space="preserve">），无需额外约束行。</w:t>
      </w:r>
    </w:p>
    <w:bookmarkEnd w:id="26"/>
    <w:bookmarkStart w:id="27" w:name="荷侧切负荷区间约束"/>
    <w:p>
      <w:pPr>
        <w:pStyle w:val="Heading4"/>
      </w:pPr>
      <w:r>
        <w:t xml:space="preserve">(3) 荷侧切负荷区间约束</w:t>
      </w:r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D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</m:oMath>
      </m:oMathPara>
    </w:p>
    <w:bookmarkEnd w:id="27"/>
    <w:bookmarkStart w:id="28" w:name="线路潮流安全约束每支路两条不等式"/>
    <w:p>
      <w:pPr>
        <w:pStyle w:val="Heading4"/>
      </w:pPr>
      <w:r>
        <w:t xml:space="preserve">(4) 线路潮流（安全）约束（每支路两条不等式）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l</m:t>
          </m:r>
        </m:oMath>
      </m:oMathPara>
    </w:p>
    <w:bookmarkEnd w:id="28"/>
    <w:bookmarkStart w:id="29" w:name="平衡节点相角参考"/>
    <w:p>
      <w:pPr>
        <w:pStyle w:val="Heading4"/>
      </w:pPr>
      <w:r>
        <w:t xml:space="preserve">(5) 平衡节点相角参考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slack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bus </m:t>
              </m:r>
              <m:r>
                <m:t>31</m:t>
              </m:r>
            </m:e>
          </m:d>
        </m:oMath>
      </m:oMathPara>
    </w:p>
    <w:bookmarkEnd w:id="29"/>
    <w:bookmarkEnd w:id="30"/>
    <w:bookmarkStart w:id="31" w:name="与-gurobi-标准型的对应"/>
    <w:p>
      <w:pPr>
        <w:pStyle w:val="Heading3"/>
      </w:pPr>
      <w:r>
        <w:t xml:space="preserve">2.4 与 Gurobi 标准型的对应</w:t>
      </w:r>
    </w:p>
    <w:p>
      <w:pPr>
        <w:pStyle w:val="FirstParagraph"/>
      </w:pPr>
      <w:r>
        <w:t xml:space="preserve">Gurobi（MATLAB 接口）求解</w:t>
      </w:r>
      <w:r>
        <w:t xml:space="preserve"> </w:t>
      </w:r>
      <m:oMath>
        <m:r>
          <m:rPr>
            <m:sty m:val="p"/>
          </m:rPr>
          <m:t>min</m:t>
        </m:r>
        <m:r>
          <m:t> 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Q</m:t>
        </m:r>
        <m:r>
          <m:t> </m:t>
        </m:r>
        <m:r>
          <m:rPr>
            <m:sty m:val="b"/>
          </m:rPr>
          <m:t>x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x</m:t>
        </m:r>
        <m:r>
          <m:t> </m:t>
        </m:r>
        <m:r>
          <m:rPr>
            <m:sty m:val="p"/>
          </m:rPr>
          <m:t>{</m:t>
        </m:r>
        <m:r>
          <m:rPr>
            <m:sty m:val="p"/>
          </m:rPr>
          <m:t>≤</m:t>
        </m:r>
        <m:r>
          <m:rPr>
            <m:sty m:val="p"/>
          </m:rPr>
          <m:t>,</m:t>
        </m:r>
        <m:r>
          <m:rPr>
            <m:sty m:val="p"/>
          </m:rPr>
          <m:t>=</m:t>
        </m:r>
        <m:r>
          <m:rPr>
            <m:sty m:val="p"/>
          </m:rPr>
          <m:t>,</m:t>
        </m:r>
        <m:r>
          <m:rPr>
            <m:sty m:val="p"/>
          </m:rPr>
          <m:t>≥</m:t>
        </m:r>
        <m:r>
          <m:rPr>
            <m:sty m:val="p"/>
          </m:rPr>
          <m:t>}</m:t>
        </m:r>
        <m:r>
          <m:t> 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t> </m:t>
        </m:r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≤</m:t>
        </m:r>
        <m:r>
          <m:rPr>
            <m:sty m:val="b"/>
          </m:rPr>
          <m:t>x</m:t>
        </m:r>
        <m:r>
          <m:rPr>
            <m:sty m:val="p"/>
          </m:rPr>
          <m:t>≤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Q</m:t>
        </m:r>
      </m:oMath>
      <w:r>
        <w:t xml:space="preserve">：对角阵，</w:t>
      </w:r>
      <m:oMath>
        <m:sSub>
          <m:e>
            <m:r>
              <m:t>Q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（仅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段），其余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c</m:t>
        </m:r>
      </m:oMath>
      <w: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，</w:t>
      </w:r>
      <m:oMath>
        <m:r>
          <m:t>s</m:t>
        </m:r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，</w:t>
      </w:r>
      <m:oMath>
        <m:r>
          <m:t>θ</m:t>
        </m:r>
      </m:oMath>
      <w:r>
        <w:t xml:space="preserve"> </w:t>
      </w:r>
      <w:r>
        <w:t xml:space="preserve">段为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：式 (1) 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行、式 (4) 为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行；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：式 (2a)–(2d) 源侧调度区间、式 (3) 切负荷界、式 (5) 平衡节点相角界；</w:t>
      </w:r>
    </w:p>
    <w:p>
      <w:pPr>
        <w:pStyle w:val="FirstParagraph"/>
      </w:pPr>
      <w:r>
        <w:t xml:space="preserve">实现见</w:t>
      </w:r>
      <w:r>
        <w:t xml:space="preserve"> </w:t>
      </w:r>
      <w:r>
        <w:rPr>
          <w:rStyle w:val="VerbatimChar"/>
        </w:rPr>
        <w:t xml:space="preserve">matlab/source_dispatch_bounds.m</w:t>
      </w:r>
      <w:r>
        <w:t xml:space="preserve">（源侧区间）、</w:t>
      </w:r>
      <w:r>
        <w:rPr>
          <w:rStyle w:val="VerbatimChar"/>
        </w:rPr>
        <w:t xml:space="preserve">matlab/build_and_solve_dcopf.m</w:t>
      </w:r>
      <w:r>
        <w:t xml:space="preserve">（模型装配），主程序</w:t>
      </w:r>
      <w:r>
        <w:t xml:space="preserve"> 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求解结果极热场景基准状态"/>
    <w:p>
      <w:pPr>
        <w:pStyle w:val="Heading2"/>
      </w:pPr>
      <w:r>
        <w:t xml:space="preserve">3．求解结果（极热场景基准状态）</w:t>
      </w:r>
    </w:p>
    <w:p>
      <w:pPr>
        <w:pStyle w:val="FirstParagraph"/>
      </w:pPr>
      <w:r>
        <w:t xml:space="preserve">环境：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（无风）、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目标函数最优值  : 1 011 492.52  ($/h)</w:t>
      </w:r>
      <w:r>
        <w:br/>
      </w:r>
      <w:r>
        <w:rPr>
          <w:rStyle w:val="VerbatimChar"/>
        </w:rPr>
        <w:t xml:space="preserve">  发电成本      :   248 686.62  ($/h)</w:t>
      </w:r>
      <w:r>
        <w:br/>
      </w:r>
      <w:r>
        <w:rPr>
          <w:rStyle w:val="VerbatimChar"/>
        </w:rPr>
        <w:t xml:space="preserve">  切负荷惩罚成本:   762 805.90  ($/h)</w:t>
      </w:r>
    </w:p>
    <w:p>
      <w:pPr>
        <w:pStyle w:val="FirstParagraph"/>
      </w:pPr>
      <w:r>
        <w:rPr>
          <w:bCs/>
          <w:b/>
        </w:rPr>
        <w:t xml:space="preserve">源侧出力（MW）</w:t>
      </w:r>
      <w:r>
        <w:t xml:space="preserve">——含调度下界/上界（已计降容、最小出力、爬坡、水电电量）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G4/33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G5/34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G6/35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荷侧切负荷（MW）</w:t>
      </w:r>
    </w:p>
    <w:p>
      <w:pPr>
        <w:pStyle w:val="SourceCode"/>
      </w:pPr>
      <w:r>
        <w:rPr>
          <w:rStyle w:val="VerbatimChar"/>
        </w:rPr>
        <w:t xml:space="preserve">极热修正后总需求 : 6754.6</w:t>
      </w:r>
      <w:r>
        <w:br/>
      </w:r>
      <w:r>
        <w:rPr>
          <w:rStyle w:val="VerbatimChar"/>
        </w:rPr>
        <w:t xml:space="preserve">总切负荷         :  762.8   (11.29%)</w:t>
      </w:r>
      <w:r>
        <w:br/>
      </w:r>
      <w:r>
        <w:rPr>
          <w:rStyle w:val="VerbatimChar"/>
        </w:rPr>
        <w:t xml:space="preserve">  一级(关键)  VOLL=10000  切除=   0.0</w:t>
      </w:r>
      <w:r>
        <w:br/>
      </w:r>
      <w:r>
        <w:rPr>
          <w:rStyle w:val="VerbatimChar"/>
        </w:rPr>
        <w:t xml:space="preserve">  二级(重要)  VOLL= 5000  切除=   0.0</w:t>
      </w:r>
      <w:r>
        <w:br/>
      </w:r>
      <w:r>
        <w:rPr>
          <w:rStyle w:val="VerbatimChar"/>
        </w:rPr>
        <w:t xml:space="preserve">  三级(可中断)VOLL= 1000  切除= 762.8</w:t>
      </w:r>
    </w:p>
    <w:p>
      <w:pPr>
        <w:pStyle w:val="FirstParagraph"/>
      </w:pPr>
      <w:r>
        <w:rPr>
          <w:bCs/>
          <w:b/>
        </w:rPr>
        <w:t xml:space="preserve">校验</w:t>
      </w:r>
      <w:r>
        <w:t xml:space="preserve">：系统功率平衡残差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；线路最大负载率 100%（存在一条满载断面），无越限。</w:t>
      </w:r>
    </w:p>
    <w:bookmarkStart w:id="33" w:name="结果解读"/>
    <w:p>
      <w:pPr>
        <w:pStyle w:val="Heading3"/>
      </w:pPr>
      <w:r>
        <w:t xml:space="preserve">结果解读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源侧失衡</w:t>
      </w:r>
      <w:r>
        <w:t xml:space="preserve">：极热无风使风电（700 MW 铭牌）几乎全失、光伏降容至 74.5%、水电枯水至 85%、火电高温降容约 2.5%~4.5%，全网可用出力由 7000 MW 降至约 6008 MW。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荷侧失衡</w:t>
      </w:r>
      <w:r>
        <w:t xml:space="preserve">：空调负荷推升总需求约 8%（至 6755 MW），与可用出力之间形成约 763 MW 的硬缺口。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最优调度</w:t>
      </w:r>
      <w:r>
        <w:t xml:space="preserve">：模型用尽所有低成本机组与可再生出力后，</w:t>
      </w:r>
      <w:r>
        <w:rPr>
          <w:bCs/>
          <w:b/>
        </w:rPr>
        <w:t xml:space="preserve">仅切除惩罚最低的三级（可中断）负荷 762.8 MW</w:t>
      </w:r>
      <w:r>
        <w:t xml:space="preserve">，一/二级关键负荷全额保供。火电爬坡约束抬高了部分机组调度下界（如 G2 下界 397.9 MW），但最优解仍全部顶在调度上界，结果与仅施加简单出力区间时一致。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求解器与验证"/>
    <w:p>
      <w:pPr>
        <w:pStyle w:val="Heading2"/>
      </w:pPr>
      <w:r>
        <w:t xml:space="preserve">4．求解器与验证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主实现（题目要求）</w:t>
      </w:r>
      <w:r>
        <w:t xml:space="preserve">：MATLAB + Gurobi，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开源验证</w:t>
      </w:r>
      <w:r>
        <w:t xml:space="preserve">：在无 MATLAB/Gurobi 环境下，用</w:t>
      </w:r>
      <w:r>
        <w:t xml:space="preserve"> </w:t>
      </w:r>
      <w:r>
        <w:rPr>
          <w:rStyle w:val="VerbatimChar"/>
        </w:rPr>
        <w:t xml:space="preserve">verify/verify_dcopf.py</w:t>
      </w:r>
      <w:r>
        <w:t xml:space="preserve">（cvxpy/CLARABEL）复现同一模型；</w:t>
      </w:r>
      <w:r>
        <w:t xml:space="preserve"> </w:t>
      </w:r>
      <w:r>
        <w:rPr>
          <w:rStyle w:val="VerbatimChar"/>
        </w:rPr>
        <w:t xml:space="preserve">verify/verify_matrix_form.py</w:t>
      </w:r>
      <w:r>
        <w:t xml:space="preserve"> </w:t>
      </w:r>
      <w:r>
        <w:t xml:space="preserve">进一步逐元素复现 Gurobi 标准型的矩阵装配，二者目标值偏差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、机组出力偏差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MW，证明 MATLAB/Gurobi 模型装配正确。</w:t>
      </w:r>
    </w:p>
    <w:p>
      <w:pPr>
        <w:pStyle w:val="FirstParagraph"/>
      </w:pPr>
      <w:r>
        <w:t xml:space="preserve">运行方式见仓库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2026-06-26T03:05:48Z</dcterms:created>
  <dcterms:modified xsi:type="dcterms:W3CDTF">2026-06-26T03:05:48Z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