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第一步-极热无风气象条件下的源-荷供需失衡模型"/>
    <w:p>
      <w:pPr>
        <w:pStyle w:val="Heading1"/>
      </w:pPr>
      <w:r>
        <w:t xml:space="preserve">第一步　极热无风气象条件下的源-荷供需失衡模型</w:t>
      </w:r>
    </w:p>
    <w:p>
      <w:pPr>
        <w:pStyle w:val="FirstParagraph"/>
      </w:pPr>
      <w:r>
        <w:t xml:space="preserve">极热无风（Extreme-Heat / No-Wind）是一类典型的</w:t>
      </w:r>
      <w:r>
        <w:rPr>
          <w:bCs/>
          <w:b/>
        </w:rPr>
        <w:t xml:space="preserve">复合型极端气象事件</w:t>
      </w:r>
      <w:r>
        <w:t xml:space="preserve">：高温叠加近地面静风（常伴随枯水、强辐照、高湿）。</w:t>
      </w:r>
      <w:r>
        <w:t xml:space="preserve"> </w:t>
      </w:r>
      <w:r>
        <w:t xml:space="preserve">它会从”源侧”和”荷侧”两个方向同时恶化电力系统的供需平衡：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源侧</w:t>
      </w:r>
      <w:r>
        <w:t xml:space="preserve">：发电设备效率随温度/水情/风况下降，最大可用出力（或可发电量）减小；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荷侧</w:t>
      </w:r>
      <w:r>
        <w:t xml:space="preserve">：制冷需求激增，用电额定功率上升。</w:t>
      </w:r>
    </w:p>
    <w:p>
      <w:pPr>
        <w:pStyle w:val="FirstParagraph"/>
      </w:pPr>
      <w:r>
        <w:t xml:space="preserve">本节给出两侧的数学模型：源侧四类机组的最大出力公式与调度区间约束，荷侧负荷分类与温度响应公式。</w:t>
      </w:r>
      <w:r>
        <w:t xml:space="preserve"> </w:t>
      </w:r>
      <w:r>
        <w:t xml:space="preserve">所有符号与代码实现（</w:t>
      </w:r>
      <w:r>
        <w:rPr>
          <w:rStyle w:val="VerbatimChar"/>
        </w:rPr>
        <w:t xml:space="preserve">matlab/derate_sources.m</w:t>
      </w:r>
      <w:r>
        <w:t xml:space="preserve">、</w:t>
      </w:r>
      <w:r>
        <w:rPr>
          <w:rStyle w:val="VerbatimChar"/>
        </w:rPr>
        <w:t xml:space="preserve">matlab/load_temperature.m</w:t>
      </w:r>
      <w:r>
        <w:t xml:space="preserve">、</w:t>
      </w:r>
      <w:r>
        <w:rPr>
          <w:rStyle w:val="VerbatimChar"/>
        </w:rPr>
        <w:t xml:space="preserve">verify/models.py</w:t>
      </w:r>
      <w:r>
        <w:t xml:space="preserve">）一一对应。</w:t>
      </w:r>
    </w:p>
    <w:p>
      <w:pPr>
        <w:pStyle w:val="BlockText"/>
      </w:pPr>
      <w:r>
        <w:t xml:space="preserve">约定：功率单位 MW，基准容量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MVA</m:t>
        </m:r>
      </m:oMath>
      <w:r>
        <w:t xml:space="preserve">，环境温度</w:t>
      </w:r>
      <w:r>
        <w:t xml:space="preserve"> </w:t>
      </w:r>
      <m:oMath>
        <m:r>
          <m:t>T</m:t>
        </m:r>
      </m:oMath>
      <w:r>
        <w:t xml:space="preserve">（℃），辐照度</w:t>
      </w:r>
      <w:r>
        <w:t xml:space="preserve"> </w:t>
      </w:r>
      <m:oMath>
        <m:r>
          <m:t>G</m:t>
        </m:r>
      </m:oMath>
      <w:r>
        <w:t xml:space="preserve">（W/m²），风速</w:t>
      </w:r>
      <w:r>
        <w:t xml:space="preserve"> </w:t>
      </w:r>
      <m:oMath>
        <m:r>
          <m:t>v</m:t>
        </m:r>
      </m:oMath>
      <w:r>
        <w:t xml:space="preserve">（m/s）。</w:t>
      </w:r>
    </w:p>
    <w:p>
      <w:r>
        <w:pict>
          <v:rect style="width:0;height:1.5pt" o:hralign="center" o:hrstd="t" o:hr="t"/>
        </w:pict>
      </w:r>
    </w:p>
    <w:bookmarkStart w:id="25" w:name="a源侧失衡四类机组最大出力与调度约束"/>
    <w:p>
      <w:pPr>
        <w:pStyle w:val="Heading2"/>
      </w:pPr>
      <w:r>
        <w:t xml:space="preserve">A．源侧失衡：四类机组最大出力与调度约束</w:t>
      </w:r>
    </w:p>
    <w:p>
      <w:pPr>
        <w:pStyle w:val="FirstParagraph"/>
      </w:pPr>
      <w:r>
        <w:t xml:space="preserve">极热无风下，四类机组分别受不同物理机理影响而降容。下面对每一类给出</w:t>
      </w:r>
      <w:r>
        <w:rPr>
          <w:bCs/>
          <w:b/>
        </w:rPr>
        <w:t xml:space="preserve">最大出力公式</w:t>
      </w:r>
      <w:r>
        <w:t xml:space="preserve">与</w:t>
      </w:r>
      <w:r>
        <w:rPr>
          <w:bCs/>
          <w:b/>
        </w:rPr>
        <w:t xml:space="preserve">调度区间特性/约束</w:t>
      </w:r>
      <w:r>
        <w:t xml:space="preserve">。</w:t>
      </w:r>
    </w:p>
    <w:bookmarkStart w:id="20" w:name="a.1-火电机组thermal含燃煤-燃气"/>
    <w:p>
      <w:pPr>
        <w:pStyle w:val="Heading3"/>
      </w:pPr>
      <w:r>
        <w:t xml:space="preserve">A.1 火电机组（Thermal，含燃煤 / 燃气）</w:t>
      </w:r>
    </w:p>
    <w:p>
      <w:pPr>
        <w:pStyle w:val="FirstParagraph"/>
      </w:pPr>
      <w:r>
        <w:rPr>
          <w:bCs/>
          <w:b/>
        </w:rPr>
        <w:t xml:space="preserve">机理</w:t>
      </w:r>
      <w:r>
        <w:t xml:space="preserve">：环境温度升高 → 进气/冷却空气密度下降、凝汽器循环冷却水温升高、背压增大、冷端效率下降，导致额定出力能力下降（高温降容 / derating）。燃气轮机对进气温度尤其敏感。</w:t>
      </w:r>
    </w:p>
    <w:p>
      <w:pPr>
        <w:pStyle w:val="BodyText"/>
      </w:pPr>
      <w:r>
        <w:rPr>
          <w:bCs/>
          <w:b/>
        </w:rPr>
        <w:t xml:space="preserve">最大出力公式（一次线性降容模型）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 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e>
          </m:d>
          <m: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G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为额定参考温度（取</w:t>
      </w:r>
      <w:r>
        <w:t xml:space="preserve"> </w:t>
      </w:r>
      <m:oMath>
        <m:r>
          <m:t>35</m:t>
        </m:r>
        <m:r>
          <m:t> </m:t>
        </m:r>
        <m:r>
          <m:rPr>
            <m:sty m:val="p"/>
          </m:rPr>
          <m:t>℃</m:t>
        </m:r>
      </m:oMath>
      <w:r>
        <w:t xml:space="preserve">），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为温度降容系数：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0.005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/℃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燃煤</m:t>
                    </m:r>
                  </m:e>
                </m:m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0.009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/℃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燃气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bCs/>
          <w:b/>
        </w:rPr>
        <w:t xml:space="preserve">文献来源</w:t>
      </w:r>
      <w:r>
        <w:t xml:space="preserve">：高温/冷却受限使火电夏季可用容量下降的线性降容机理见 van Vliet 等 [1]（夏季平均可用容量下降 4.4%–19%）与 Linnerud 等 [2]（环境/冷却温度每升 1℃ 出力约降 0.15%–0.5%）；燃气轮机进气温度升高显著降出力（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）的依据见 de Sá 与 Al Zubaidy [3]。</w:t>
      </w:r>
    </w:p>
    <w:p>
      <w:pPr>
        <w:pStyle w:val="FirstParagraph"/>
      </w:pPr>
      <w:r>
        <w:rPr>
          <w:bCs/>
          <w:b/>
        </w:rPr>
        <w:t xml:space="preserve">调度区间特性与约束</w:t>
      </w:r>
      <w:r>
        <w:t xml:space="preserve">：火电为</w:t>
      </w:r>
      <w:r>
        <w:rPr>
          <w:bCs/>
          <w:b/>
        </w:rPr>
        <w:t xml:space="preserve">可调度（dispatchable）</w:t>
      </w:r>
      <w:r>
        <w:t xml:space="preserve">机组，具有最小技术出力、爬坡限制与启停状态。令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表示机组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在时段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的开机状态，则：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λ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min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↓</m:t>
              </m:r>
            </m:sup>
          </m:sSubSup>
          <m:r>
            <m:t>Δ</m:t>
          </m:r>
          <m:r>
            <m:t>t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 </m:t>
          </m:r>
          <m:r>
            <m:rPr>
              <m:sty m:val="p"/>
            </m:rPr>
            <m:t>≤</m:t>
          </m:r>
          <m:r>
            <m:t> 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↑</m:t>
              </m:r>
            </m:sup>
          </m:sSubSup>
          <m:r>
            <m:t>Δ</m:t>
          </m:r>
          <m:r>
            <m:t>t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多时段爬坡</m:t>
              </m:r>
            </m:e>
          </m:d>
        </m:oMath>
      </m:oMathPara>
    </w:p>
    <w:p>
      <w:pPr>
        <w:pStyle w:val="FirstParagraph"/>
      </w:pPr>
      <w:r>
        <w:t xml:space="preserve">当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时，</w:t>
      </w:r>
      <m:oMath>
        <m:sSub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；当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时，机组出力被限制在最小技术出力与最大可用出力之间。本文算例为单时段快照，代码中将爬坡约束折算为开机状态下的调度区间，再由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控制火电机组开停。</w:t>
      </w:r>
    </w:p>
    <w:p>
      <w:pPr>
        <w:pStyle w:val="BodyText"/>
      </w:pPr>
      <w:r>
        <w:t xml:space="preserve">最小出力率</w:t>
      </w:r>
      <w:r>
        <w:t xml:space="preserve"> </w:t>
      </w:r>
      <m:oMath>
        <m:sSubSup>
          <m:e>
            <m:r>
              <m:t>λ</m:t>
            </m:r>
          </m:e>
          <m:sub>
            <m:r>
              <m:t>i</m:t>
            </m:r>
          </m:sub>
          <m:sup>
            <m:r>
              <m:rPr>
                <m:sty m:val="p"/>
              </m:rPr>
              <m:t>min</m:t>
            </m:r>
          </m:sup>
        </m:sSubSup>
      </m:oMath>
      <w:r>
        <w:t xml:space="preserve">：燃煤取</w:t>
      </w:r>
      <w:r>
        <w:t xml:space="preserve"> </w:t>
      </w:r>
      <m:oMath>
        <m:r>
          <m:t>0.30</m:t>
        </m:r>
      </m:oMath>
      <w:r>
        <w:t xml:space="preserve">、燃气取</w:t>
      </w:r>
      <w:r>
        <w:t xml:space="preserve"> </w:t>
      </w:r>
      <m:oMath>
        <m:r>
          <m:t>0.20</m:t>
        </m:r>
      </m:oMath>
      <w:r>
        <w:t xml:space="preserve">（燃气调峰能力更强）。</w:t>
      </w:r>
      <w:r>
        <w:t xml:space="preserve"> </w:t>
      </w:r>
      <w:r>
        <w:t xml:space="preserve">高温降容后若</w:t>
      </w:r>
      <w:r>
        <w:t xml:space="preserve"> </w:t>
      </w:r>
      <m:oMath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max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sSubSup>
          <m:e>
            <m:r>
              <m:t>λ</m:t>
            </m:r>
          </m:e>
          <m:sub>
            <m:r>
              <m:t>i</m:t>
            </m:r>
          </m:sub>
          <m:sup>
            <m:r>
              <m:rPr>
                <m:sty m:val="p"/>
              </m:rPr>
              <m:t>min</m:t>
            </m:r>
          </m:sup>
        </m:sSubSup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</m:oMath>
      <w:r>
        <w:t xml:space="preserve">，则令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P</m:t>
                </m:r>
              </m:e>
            </m:ba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max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以保可行。</w:t>
      </w:r>
    </w:p>
    <w:bookmarkEnd w:id="20"/>
    <w:bookmarkStart w:id="21" w:name="a.2-水电机组hydro"/>
    <w:p>
      <w:pPr>
        <w:pStyle w:val="Heading3"/>
      </w:pPr>
      <w:r>
        <w:t xml:space="preserve">A.2 水电机组（Hydro）</w:t>
      </w:r>
    </w:p>
    <w:p>
      <w:pPr>
        <w:pStyle w:val="FirstParagraph"/>
      </w:pPr>
      <w:r>
        <w:rPr>
          <w:bCs/>
          <w:b/>
        </w:rPr>
        <w:t xml:space="preserve">机理</w:t>
      </w:r>
      <w:r>
        <w:t xml:space="preserve">：极热常伴</w:t>
      </w:r>
      <w:r>
        <w:rPr>
          <w:bCs/>
          <w:b/>
        </w:rPr>
        <w:t xml:space="preserve">枯水/低水头</w:t>
      </w:r>
      <w:r>
        <w:t xml:space="preserve">与强蒸发，可用流量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与净水头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下降；且水库可用电量有限（能量约束）。瞬时出力遵循水能转换：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r>
            <m:t>g</m:t>
          </m:r>
          <m:r>
            <m:t> 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最大出力公式（枯水折减）</w:t>
      </w:r>
      <w:r>
        <w:t xml:space="preserve">：以可用出力系数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反映水情对额定出力的折减：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t>0.85</m:t>
          </m:r>
        </m:oMath>
      </m:oMathPara>
    </w:p>
    <w:p>
      <w:pPr>
        <w:pStyle w:val="BlockText"/>
      </w:pPr>
      <w:r>
        <w:rPr>
          <w:bCs/>
          <w:b/>
        </w:rPr>
        <w:t xml:space="preserve">文献来源</w:t>
      </w:r>
      <w:r>
        <w:t xml:space="preserve">：水能-出力转换公式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ρ</m:t>
        </m:r>
        <m:r>
          <m:t>g</m:t>
        </m:r>
        <m:r>
          <m:t>η</m:t>
        </m:r>
        <m:r>
          <m:t>Q</m:t>
        </m:r>
        <m:r>
          <m:t>H</m:t>
        </m:r>
      </m:oMath>
      <w:r>
        <w:t xml:space="preserve"> </w:t>
      </w:r>
      <w:r>
        <w:t xml:space="preserve">为水电基本关系，见 Paish [4]；以出力系数折减反映枯水/低水头与水库可用电量约束亦属常规处理。</w:t>
      </w:r>
    </w:p>
    <w:p>
      <w:pPr>
        <w:pStyle w:val="FirstParagraph"/>
      </w:pPr>
      <w:r>
        <w:rPr>
          <w:bCs/>
          <w:b/>
        </w:rPr>
        <w:t xml:space="preserve">调度区间特性与约束</w:t>
      </w:r>
      <w:r>
        <w:t xml:space="preserve">：水电为</w:t>
      </w:r>
      <w:r>
        <w:rPr>
          <w:bCs/>
          <w:b/>
        </w:rPr>
        <w:t xml:space="preserve">灵活/调峰</w:t>
      </w:r>
      <w:r>
        <w:t xml:space="preserve">机组，爬坡快，但受</w:t>
      </w:r>
      <w:r>
        <w:rPr>
          <w:bCs/>
          <w:b/>
        </w:rPr>
        <w:t xml:space="preserve">水库可用电量</w:t>
      </w:r>
      <w:r>
        <w:t xml:space="preserve">约束（多时段）。本文不对水电机组设置启停二进制变量，其出力在连续区间内优化：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Δ</m:t>
          </m:r>
          <m:r>
            <m:t>t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sSubSup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</m:sup>
          </m:sSubSup>
        </m:oMath>
      </m:oMathPara>
    </w:p>
    <w:p>
      <w:pPr>
        <w:pStyle w:val="FirstParagraph"/>
      </w:pPr>
      <w:r>
        <w:t xml:space="preserve">在本”基准状态（单时段快照）“中，能量约束折算为出力上限折减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sub>
        </m:sSub>
      </m:oMath>
      <w:r>
        <w:t xml:space="preserve">。</w:t>
      </w:r>
    </w:p>
    <w:bookmarkEnd w:id="21"/>
    <w:bookmarkStart w:id="22" w:name="a.3-风电机组wind"/>
    <w:p>
      <w:pPr>
        <w:pStyle w:val="Heading3"/>
      </w:pPr>
      <w:r>
        <w:t xml:space="preserve">A.3 风电机组（Wind）</w:t>
      </w:r>
    </w:p>
    <w:p>
      <w:pPr>
        <w:pStyle w:val="FirstParagraph"/>
      </w:pPr>
      <w:r>
        <w:rPr>
          <w:bCs/>
          <w:b/>
        </w:rPr>
        <w:t xml:space="preserve">机理</w:t>
      </w:r>
      <w:r>
        <w:t xml:space="preserve">：出力由风速决定，遵循</w:t>
      </w:r>
      <w:r>
        <w:rPr>
          <w:bCs/>
          <w:b/>
        </w:rPr>
        <w:t xml:space="preserve">分段风速-功率曲线</w:t>
      </w:r>
      <w:r>
        <w:t xml:space="preserve">；</w:t>
      </w:r>
      <w:r>
        <w:t xml:space="preserve">“</w:t>
      </w:r>
      <w:r>
        <w:t xml:space="preserve">无风</w:t>
      </w:r>
      <w:r>
        <w:t xml:space="preserve">”</w:t>
      </w:r>
      <w:r>
        <w:t xml:space="preserve">工况下风速低于切入风速，出力近乎为零。</w:t>
      </w:r>
    </w:p>
    <w:p>
      <w:pPr>
        <w:pStyle w:val="BodyText"/>
      </w:pPr>
      <w:r>
        <w:rPr>
          <w:bCs/>
          <w:b/>
        </w:rPr>
        <w:t xml:space="preserve">最大出力公式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⋅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  <m:r>
                          <m:t>i</m:t>
                        </m:r>
                      </m:sub>
                    </m:sSub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或</m:t>
                    </m:r>
                    <m:r>
                      <m:t> </m:t>
                    </m:r>
                    <m:r>
                      <m:t>v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  <m:r>
                          <m:t>o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v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i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num>
                      <m:den>
                        <m:sSubSup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i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v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v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  <m:r>
                          <m:t>o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切入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i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、额定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、切出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（m/s）。极热</w:t>
      </w:r>
      <w:r>
        <w:rPr>
          <w:bCs/>
          <w:b/>
        </w:rPr>
        <w:t xml:space="preserve">无风</w:t>
      </w:r>
      <w:r>
        <w:t xml:space="preserve">取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m/s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c</m:t>
            </m:r>
            <m:r>
              <m:t>i</m:t>
            </m:r>
          </m:sub>
        </m:sSub>
      </m:oMath>
      <w:r>
        <w:t xml:space="preserve">，故</w:t>
      </w:r>
      <w:r>
        <w:t xml:space="preserve"> </w:t>
      </w:r>
      <m:oMath>
        <m:sSubSup>
          <m:e>
            <m:r>
              <m:t>P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max</m:t>
            </m:r>
          </m:sup>
        </m:sSubSup>
        <m:r>
          <m:rPr>
            <m:sty m:val="p"/>
          </m:rPr>
          <m:t>≈</m:t>
        </m:r>
        <m:r>
          <m:t>0</m:t>
        </m:r>
      </m:oMath>
      <w:r>
        <w:t xml:space="preserve">。</w:t>
      </w:r>
    </w:p>
    <w:p>
      <w:pPr>
        <w:pStyle w:val="BlockText"/>
      </w:pPr>
      <w:r>
        <w:rPr>
          <w:bCs/>
          <w:b/>
        </w:rPr>
        <w:t xml:space="preserve">文献来源</w:t>
      </w:r>
      <w:r>
        <w:t xml:space="preserve">：切入/额定/切出三段式风速-功率曲线见 Manwell 等《Wind Energy Explained》[5]；额定区前采用立方近似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的依据与精度评估见 Carrillo 等 [6]。</w:t>
      </w:r>
    </w:p>
    <w:p>
      <w:pPr>
        <w:pStyle w:val="FirstParagraph"/>
      </w:pPr>
      <w:r>
        <w:rPr>
          <w:bCs/>
          <w:b/>
        </w:rPr>
        <w:t xml:space="preserve">调度区间特性与约束</w:t>
      </w:r>
      <w:r>
        <w:t xml:space="preserve">：风电为</w:t>
      </w:r>
      <w:r>
        <w:rPr>
          <w:bCs/>
          <w:b/>
        </w:rPr>
        <w:t xml:space="preserve">不可调度（非计划）</w:t>
      </w:r>
      <w:r>
        <w:t xml:space="preserve">电源，仅可在最大可用出力内被消纳或弃风：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</m:oMath>
      </m:oMathPara>
    </w:p>
    <w:bookmarkEnd w:id="22"/>
    <w:bookmarkStart w:id="23" w:name="a.4-光伏机组solar-pv"/>
    <w:p>
      <w:pPr>
        <w:pStyle w:val="Heading3"/>
      </w:pPr>
      <w:r>
        <w:t xml:space="preserve">A.4 光伏机组（Solar PV）</w:t>
      </w:r>
    </w:p>
    <w:p>
      <w:pPr>
        <w:pStyle w:val="FirstParagraph"/>
      </w:pPr>
      <w:r>
        <w:rPr>
          <w:bCs/>
          <w:b/>
        </w:rPr>
        <w:t xml:space="preserve">机理</w:t>
      </w:r>
      <w:r>
        <w:t xml:space="preserve">：出力正比于辐照度，但电池温度升高会因</w:t>
      </w:r>
      <w:r>
        <w:rPr>
          <w:bCs/>
          <w:b/>
        </w:rPr>
        <w:t xml:space="preserve">负温度系数</w:t>
      </w:r>
      <w:r>
        <w:t xml:space="preserve">降低转换效率；极热下电池温度远高于环境温度。</w:t>
      </w:r>
    </w:p>
    <w:p>
      <w:pPr>
        <w:pStyle w:val="BodyText"/>
      </w:pPr>
      <w:r>
        <w:rPr>
          <w:bCs/>
          <w:b/>
        </w:rPr>
        <w:t xml:space="preserve">最大出力公式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−</m:t>
              </m:r>
              <m:r>
                <m:t>20</m:t>
              </m:r>
            </m:num>
            <m:den>
              <m:r>
                <m:t>800</m:t>
              </m:r>
            </m:den>
          </m:f>
          <m:r>
            <m:t> 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P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P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G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C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 </m:t>
          </m:r>
          <m:r>
            <m:t>1</m:t>
          </m:r>
          <m:r>
            <m:rPr>
              <m:sty m:val="p"/>
            </m:rPr>
            <m:t>+</m:t>
          </m:r>
          <m:r>
            <m:t>γ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C</m:t>
                  </m:r>
                </m:sub>
              </m:sSub>
            </m:e>
          </m:d>
          <m: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t xml:space="preserve">参数：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，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25</m:t>
        </m:r>
        <m:r>
          <m:t> </m:t>
        </m:r>
        <m:r>
          <m:rPr>
            <m:sty m:val="p"/>
          </m:rPr>
          <m:t>℃</m:t>
        </m:r>
      </m:oMath>
      <w:r>
        <w:t xml:space="preserve">，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45</m:t>
        </m:r>
        <m:r>
          <m:t> </m:t>
        </m:r>
        <m:r>
          <m:rPr>
            <m:sty m:val="p"/>
          </m:rPr>
          <m:t>℃</m:t>
        </m:r>
      </m:oMath>
      <w:r>
        <w:t xml:space="preserve">，功率温度系数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0.004</m:t>
        </m:r>
        <m:r>
          <m:t> </m:t>
        </m:r>
        <m:r>
          <m:rPr>
            <m:nor/>
            <m:sty m:val="p"/>
          </m:rPr>
          <m:t>/℃</m:t>
        </m:r>
      </m:oMath>
      <w:r>
        <w:t xml:space="preserve">。</w:t>
      </w:r>
    </w:p>
    <w:p>
      <w:pPr>
        <w:pStyle w:val="BlockText"/>
      </w:pPr>
      <w:r>
        <w:rPr>
          <w:bCs/>
          <w:b/>
        </w:rPr>
        <w:t xml:space="preserve">文献来源</w:t>
      </w:r>
      <w:r>
        <w:t xml:space="preserve">：功率随电池温度线性下降的关系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</m:sub>
        </m:sSub>
        <m:f>
          <m:fPr>
            <m:type m:val="bar"/>
          </m:fPr>
          <m:num>
            <m:r>
              <m:t>G</m:t>
            </m:r>
          </m:num>
          <m:den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C</m:t>
                </m:r>
              </m:sub>
            </m:sSub>
          </m:den>
        </m:f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C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见 Skoplaki 与 Palyvos 的综述 [7]；NOCT 电池温度模型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−</m:t>
            </m:r>
            <m:r>
              <m:t>20</m:t>
            </m:r>
          </m:num>
          <m:den>
            <m:r>
              <m:t>800</m:t>
            </m:r>
          </m:den>
        </m:f>
        <m:r>
          <m:t>G</m:t>
        </m:r>
      </m:oMath>
      <w:r>
        <w:t xml:space="preserve"> </w:t>
      </w:r>
      <w:r>
        <w:t xml:space="preserve">为 IEC 标准定义，见 Duffie 与 Beckman [8]。</w:t>
      </w:r>
    </w:p>
    <w:p>
      <w:pPr>
        <w:pStyle w:val="FirstParagraph"/>
      </w:pPr>
      <w:r>
        <w:rPr>
          <w:bCs/>
          <w:b/>
        </w:rPr>
        <w:t xml:space="preserve">调度区间特性与约束</w:t>
      </w:r>
      <w:r>
        <w:t xml:space="preserve">：光伏同为</w:t>
      </w:r>
      <w:r>
        <w:rPr>
          <w:bCs/>
          <w:b/>
        </w:rPr>
        <w:t xml:space="preserve">不可调度</w:t>
      </w:r>
      <w:r>
        <w:t xml:space="preserve">电源，可消纳或弃光：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P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P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bookmarkEnd w:id="23"/>
    <w:bookmarkStart w:id="24" w:name="a.5-源侧降容汇总本算例-t40-v2textms-g900textwm2"/>
    <w:p>
      <w:pPr>
        <w:pStyle w:val="Heading3"/>
      </w:pPr>
      <w:r>
        <w:t xml:space="preserve">A.5 源侧降容汇总（本算例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℃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m/s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=</m:t>
        </m:r>
        <m:r>
          <m:t>900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机组类型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降容机理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极热可用出力 / 额定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火电-燃煤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高温冷端降效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0.005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</m:t>
                  </m:r>
                  <m:r>
                    <m:rPr>
                      <m:sty m:val="p"/>
                    </m:rPr>
                    <m:t>−</m:t>
                  </m:r>
                  <m:r>
                    <m:t>35</m:t>
                  </m:r>
                </m:e>
              </m:d>
              <m:r>
                <m:rPr>
                  <m:sty m:val="p"/>
                </m:rPr>
                <m:t>=</m:t>
              </m:r>
              <m:r>
                <m:t>97.5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火电-燃气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进气温升降效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0.009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0.009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</m:t>
                  </m:r>
                  <m:r>
                    <m:rPr>
                      <m:sty m:val="p"/>
                    </m:rPr>
                    <m:t>−</m:t>
                  </m:r>
                  <m:r>
                    <m:t>35</m:t>
                  </m:r>
                </m:e>
              </m:d>
              <m:r>
                <m:rPr>
                  <m:sty m:val="p"/>
                </m:rPr>
                <m:t>=</m:t>
              </m:r>
              <m:r>
                <m:t>95.5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枯水/低水头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0.85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85.0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无风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高温负温度系数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74.5</m:t>
              </m:r>
              <m:r>
                <m:rPr>
                  <m:sty m:val="p"/>
                </m:rPr>
                <m:t>%</m:t>
              </m:r>
            </m:oMath>
          </w:p>
        </w:tc>
      </w:tr>
    </w:tbl>
    <w:p>
      <w:pPr>
        <w:pStyle w:val="BodyText"/>
      </w:pPr>
      <w:r>
        <w:t xml:space="preserve">可见极热无风下源侧总可用出力显著低于铭牌容量，</w:t>
      </w:r>
      <w:r>
        <w:rPr>
          <w:bCs/>
          <w:b/>
        </w:rPr>
        <w:t xml:space="preserve">风电几乎全失、光伏与水电明显折减、火电小幅降容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荷侧失衡负荷分类与温度响应"/>
    <w:p>
      <w:pPr>
        <w:pStyle w:val="Heading2"/>
      </w:pPr>
      <w:r>
        <w:t xml:space="preserve">B．荷侧失衡：负荷分类与温度响应</w:t>
      </w:r>
    </w:p>
    <w:p>
      <w:pPr>
        <w:pStyle w:val="FirstParagraph"/>
      </w:pPr>
      <w:r>
        <w:t xml:space="preserve">极热条件下空调/制冷负荷激增，节点用电需求随温度上升。负荷从</w:t>
      </w:r>
      <w:r>
        <w:rPr>
          <w:bCs/>
          <w:b/>
        </w:rPr>
        <w:t xml:space="preserve">两个维度</w:t>
      </w:r>
      <w:r>
        <w:t xml:space="preserve">分类：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按温度敏感性</w:t>
      </w:r>
      <w:r>
        <w:t xml:space="preserve">：刚性基荷（与温度无关）+ 温敏空调负荷（随温度增长）；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按供电可靠性等级</w:t>
      </w:r>
      <w:r>
        <w:t xml:space="preserve">：一级（关键）/ 二级（重要）/ 三级（可中断），对应不同的切负荷惩罚（VOLL）。</w:t>
      </w:r>
    </w:p>
    <w:bookmarkStart w:id="26" w:name="b.1-按温度敏感性分类节点需求温度响应公式"/>
    <w:p>
      <w:pPr>
        <w:pStyle w:val="Heading3"/>
      </w:pPr>
      <w:r>
        <w:t xml:space="preserve">B.1 按温度敏感性分类——节点需求温度响应公式</w:t>
      </w:r>
    </w:p>
    <w:p>
      <w:pPr>
        <w:pStyle w:val="FirstParagraph"/>
      </w:pPr>
      <w:r>
        <w:t xml:space="preserve">设节点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常温基准负荷为</w:t>
      </w:r>
      <w:r>
        <w:t xml:space="preserve"> </w:t>
      </w:r>
      <m:oMath>
        <m:sSubSup>
          <m:e>
            <m:r>
              <m:t>P</m:t>
            </m:r>
          </m:e>
          <m:sub>
            <m:r>
              <m:t>D</m:t>
            </m:r>
            <m:r>
              <m:t>j</m:t>
            </m:r>
          </m:sub>
          <m:sup>
            <m:r>
              <m:t>0</m:t>
            </m:r>
          </m:sup>
        </m:sSubSup>
      </m:oMath>
      <w:r>
        <w:t xml:space="preserve">，按比例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拆为温敏空调负荷、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ρ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拆为刚性基荷：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刚性基础负荷</w:t>
      </w:r>
      <w:r>
        <w:t xml:space="preserve">（照明、工业基础工艺等，与温度无关）：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D</m:t>
              </m:r>
              <m:r>
                <m:t>j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r>
            <m:t> 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t>j</m:t>
              </m:r>
            </m:sub>
            <m:sup>
              <m:r>
                <m:t>0</m:t>
              </m:r>
            </m:sup>
          </m:sSubSup>
        </m:oMath>
      </m:oMathPara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温敏空调负荷</w:t>
      </w:r>
      <w:r>
        <w:t xml:space="preserve">（随温升线性增长）：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D</m:t>
              </m:r>
              <m:r>
                <m:t>j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sub>
          </m:sSub>
          <m:r>
            <m:t> 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t>j</m:t>
              </m:r>
            </m:sub>
            <m:sup>
              <m:r>
                <m:t>0</m:t>
              </m:r>
            </m:sup>
          </m:sSubSup>
          <m:r>
            <m:t> </m:t>
          </m:r>
          <m:r>
            <m:rPr>
              <m:sty m:val="p"/>
            </m:rPr>
            <m:t>[</m:t>
          </m:r>
          <m:r>
            <m:t> </m:t>
          </m:r>
          <m:r>
            <m:t>1</m:t>
          </m:r>
          <m:r>
            <m:rPr>
              <m:sty m:val="p"/>
            </m:rPr>
            <m:t>+</m:t>
          </m:r>
          <m:r>
            <m:t>β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0</m:t>
                  </m:r>
                </m:sub>
              </m:sSub>
            </m:e>
          </m:d>
          <m: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节点温度修正总需求</w:t>
      </w:r>
      <w: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  <m:sSubSup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j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sub>
              </m:sSub>
              <m:sSubSup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j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L</m:t>
                      </m:r>
                      <m:r>
                        <m:t>0</m:t>
                      </m:r>
                    </m:sub>
                  </m:sSub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参数：温敏比例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0.40</m:t>
        </m:r>
      </m:oMath>
      <w:r>
        <w:t xml:space="preserve">，舒适基准温度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0</m:t>
            </m:r>
          </m:sub>
        </m:sSub>
        <m:r>
          <m:rPr>
            <m:sty m:val="p"/>
          </m:rPr>
          <m:t>=</m:t>
        </m:r>
        <m:r>
          <m:t>30</m:t>
        </m:r>
        <m:r>
          <m:t> </m:t>
        </m:r>
        <m:r>
          <m:rPr>
            <m:sty m:val="p"/>
          </m:rPr>
          <m:t>℃</m:t>
        </m:r>
      </m:oMath>
      <w:r>
        <w:t xml:space="preserve">，空调温度灵敏度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0.020</m:t>
        </m:r>
        <m:r>
          <m:t> </m:t>
        </m:r>
        <m:r>
          <m:rPr>
            <m:nor/>
            <m:sty m:val="p"/>
          </m:rPr>
          <m:t>/℃</m:t>
        </m:r>
      </m:oMath>
      <w:r>
        <w:t xml:space="preserve">。</w:t>
      </w:r>
      <w:r>
        <w:t xml:space="preserve"> </w:t>
      </w:r>
      <w:r>
        <w:t xml:space="preserve">本算例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℃</m:t>
        </m:r>
      </m:oMath>
      <w:r>
        <w:t xml:space="preserve"> </w:t>
      </w:r>
      <w:r>
        <w:t xml:space="preserve">时，单节点需求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1.08</m:t>
        </m:r>
        <m:r>
          <m:t> </m:t>
        </m:r>
        <m:sSubSup>
          <m:e>
            <m:r>
              <m:t>P</m:t>
            </m:r>
          </m:e>
          <m:sub>
            <m:r>
              <m:t>D</m:t>
            </m:r>
            <m:r>
              <m:t>j</m:t>
            </m:r>
          </m:sub>
          <m:sup>
            <m:r>
              <m:t>0</m:t>
            </m:r>
          </m:sup>
        </m:sSubSup>
      </m:oMath>
      <w:r>
        <w:t xml:space="preserve">，全网负荷由</w:t>
      </w:r>
      <w:r>
        <w:t xml:space="preserve"> </w:t>
      </w:r>
      <m:oMath>
        <m:r>
          <m:t>6254</m:t>
        </m:r>
        <m:r>
          <m:t> </m:t>
        </m:r>
        <m:r>
          <m:rPr>
            <m:nor/>
            <m:sty m:val="p"/>
          </m:rPr>
          <m:t>MW</m:t>
        </m:r>
      </m:oMath>
      <w:r>
        <w:t xml:space="preserve"> </w:t>
      </w:r>
      <w:r>
        <w:t xml:space="preserve">升至约</w:t>
      </w:r>
      <w:r>
        <w:t xml:space="preserve"> </w:t>
      </w:r>
      <m:oMath>
        <m:r>
          <m:t>6755</m:t>
        </m:r>
        <m:r>
          <m:t> </m:t>
        </m:r>
        <m:r>
          <m:rPr>
            <m:nor/>
            <m:sty m:val="p"/>
          </m:rPr>
          <m:t>MW</m:t>
        </m:r>
      </m:oMath>
      <w:r>
        <w:t xml:space="preserve">。</w:t>
      </w:r>
    </w:p>
    <w:p>
      <w:pPr>
        <w:pStyle w:val="BlockText"/>
      </w:pPr>
      <w:r>
        <w:rPr>
          <w:bCs/>
          <w:b/>
        </w:rPr>
        <w:t xml:space="preserve">文献来源</w:t>
      </w:r>
      <w:r>
        <w:t xml:space="preserve">：用电负荷随气温近似线性增长（高于舒适温度后空调负荷占主导）见 Sailor 与 Muñoz [9]；每升温 1℃ 用电量约增 2%–4% 的灵敏度（</w:t>
      </w:r>
      <m:oMath>
        <m:r>
          <m:t>β</m:t>
        </m:r>
      </m:oMath>
      <w:r>
        <w:t xml:space="preserve"> </w:t>
      </w:r>
      <w:r>
        <w:t xml:space="preserve">取值依据）见 Sailor [10]。</w:t>
      </w:r>
    </w:p>
    <w:bookmarkEnd w:id="26"/>
    <w:bookmarkStart w:id="27" w:name="b.2-按可靠性等级分类切负荷优先级"/>
    <w:p>
      <w:pPr>
        <w:pStyle w:val="Heading3"/>
      </w:pPr>
      <w:r>
        <w:t xml:space="preserve">B.2 按可靠性等级分类——切负荷优先级</w:t>
      </w:r>
    </w:p>
    <w:p>
      <w:pPr>
        <w:pStyle w:val="FirstParagraph"/>
      </w:pPr>
      <w:r>
        <w:t xml:space="preserve">将节点总需求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按等级比例</w:t>
      </w:r>
      <w:r>
        <w:t xml:space="preserve"> </w:t>
      </w:r>
      <m:oMath>
        <m:sSub>
          <m:e>
            <m:r>
              <m:t>ξ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拆分为三级，赋予不同失负荷价值（Value of Lost Load）：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比例</w:t>
            </w:r>
            <w:r>
              <w:t xml:space="preserve"> </w:t>
            </w:r>
            <m:oMath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切负荷惩罚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($/MWh)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典型负荷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一级（关键）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医院、数据中心、重要公共设施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二级（重要）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一般工商业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三级（可中断）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可中断/可调节用户</w:t>
            </w:r>
          </w:p>
        </w:tc>
      </w:tr>
    </w:tbl>
    <w:p>
      <w:pPr>
        <w:pStyle w:val="BlockText"/>
      </w:pPr>
      <w:r>
        <w:rPr>
          <w:bCs/>
          <w:b/>
        </w:rPr>
        <w:t xml:space="preserve">文献来源</w:t>
      </w:r>
      <w:r>
        <w:t xml:space="preserve">：负荷按供电可靠性划分为一/二/三级源自国家标准 GB 50052《供配电系统设计规范》[11]；以失负荷价值（VOLL，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e>
          <m:sub>
            <m:r>
              <m:t>k</m:t>
            </m:r>
          </m:sub>
        </m:sSub>
      </m:oMath>
      <w:r>
        <w:t xml:space="preserve">）量化各等级切负荷的经济损失，其概念、测算方法与典型取值范围见 Schröder 与 Kuckshinrichs 的综述 [12]。</w:t>
      </w:r>
    </w:p>
    <w:p>
      <w:pPr>
        <w:pStyle w:val="FirstParagraph"/>
      </w:pPr>
      <w:r>
        <w:t xml:space="preserve">该分级使优化在不得不切负荷时，</w:t>
      </w:r>
      <w:r>
        <w:rPr>
          <w:bCs/>
          <w:b/>
        </w:rPr>
        <w:t xml:space="preserve">优先切除惩罚最低的三级（可中断）负荷</w:t>
      </w:r>
      <w:r>
        <w:t xml:space="preserve">，保障关键负荷供电——这正是源-荷失衡下”有序用电/精准切负荷”的建模基础。</w:t>
      </w:r>
    </w:p>
    <w:p>
      <w:pPr>
        <w:pStyle w:val="BodyText"/>
      </w:pPr>
      <w:r>
        <w:t xml:space="preserve">切负荷决策变量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满足：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D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节点实际供电需求 =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e>
        </m:nary>
      </m:oMath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下一步（见</w:t>
      </w:r>
      <w:r>
        <w:t xml:space="preserve"> </w:t>
      </w:r>
      <w:r>
        <w:rPr>
          <w:rStyle w:val="VerbatimChar"/>
        </w:rPr>
        <w:t xml:space="preserve">docs/02_最优潮流调度模型.md</w:t>
      </w:r>
      <w:r>
        <w:t xml:space="preserve">）将以上源侧出力区间约束与荷侧需求/切负荷约束，嵌入直流最优潮流，构建”最小化切负荷惩罚 + 发电成本”的源-荷失衡优化调度模型。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参考文献"/>
    <w:p>
      <w:pPr>
        <w:pStyle w:val="Heading2"/>
      </w:pPr>
      <w:r>
        <w:t xml:space="preserve">参考文献</w:t>
      </w:r>
    </w:p>
    <w:p>
      <w:pPr>
        <w:pStyle w:val="FirstParagraph"/>
      </w:pPr>
      <w:r>
        <w:t xml:space="preserve">各公式与对应文献来源汇总如下（编号与正文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一一对应）。</w:t>
      </w:r>
    </w:p>
    <w:p>
      <w:pPr>
        <w:pStyle w:val="BodyText"/>
      </w:pPr>
      <w:r>
        <w:rPr>
          <w:bCs/>
          <w:b/>
        </w:rPr>
        <w:t xml:space="preserve">源侧——火电高温降容</w:t>
      </w:r>
    </w:p>
    <w:p>
      <w:pPr>
        <w:numPr>
          <w:ilvl w:val="0"/>
          <w:numId w:val="1006"/>
        </w:numPr>
        <w:pStyle w:val="Compact"/>
      </w:pPr>
      <w:r>
        <w:t xml:space="preserve">van Vliet, M. T. H., Yearsley, J. R., Ludwig, F., Vögele, S., Lettenmaier, D. P., Kabat, P. (2012). Vulnerability of US and European electricity supply to climate change.</w:t>
      </w:r>
      <w:r>
        <w:t xml:space="preserve"> </w:t>
      </w:r>
      <w:r>
        <w:rPr>
          <w:iCs/>
          <w:i/>
        </w:rPr>
        <w:t xml:space="preserve">Nature Climate Change</w:t>
      </w:r>
      <w:r>
        <w:t xml:space="preserve">, 2(9), 676–681. DOI: 10.1038/nclimate1546.</w:t>
      </w:r>
    </w:p>
    <w:p>
      <w:pPr>
        <w:numPr>
          <w:ilvl w:val="0"/>
          <w:numId w:val="1006"/>
        </w:numPr>
        <w:pStyle w:val="Compact"/>
      </w:pPr>
      <w:r>
        <w:t xml:space="preserve">Linnerud, K., Mideksa, T. K., Eskeland, G. S. (2011). The impact of climate change on nuclear power supply.</w:t>
      </w:r>
      <w:r>
        <w:t xml:space="preserve"> </w:t>
      </w:r>
      <w:r>
        <w:rPr>
          <w:iCs/>
          <w:i/>
        </w:rPr>
        <w:t xml:space="preserve">The Energy Journal</w:t>
      </w:r>
      <w:r>
        <w:t xml:space="preserve">, 32(1), 149–168. DOI: 10.5547/ISSN0195-6574-EJ-Vol32-No1-6.</w:t>
      </w:r>
    </w:p>
    <w:p>
      <w:pPr>
        <w:numPr>
          <w:ilvl w:val="0"/>
          <w:numId w:val="1006"/>
        </w:numPr>
        <w:pStyle w:val="Compact"/>
      </w:pPr>
      <w:r>
        <w:t xml:space="preserve">de Sá, A., Al Zubaidy, S. (2011). Gas turbine performance at varying ambient temperature.</w:t>
      </w:r>
      <w:r>
        <w:t xml:space="preserve"> </w:t>
      </w:r>
      <w:r>
        <w:rPr>
          <w:iCs/>
          <w:i/>
        </w:rPr>
        <w:t xml:space="preserve">Applied Thermal Engineering</w:t>
      </w:r>
      <w:r>
        <w:t xml:space="preserve">, 31(14–15), 2735–2739. DOI: 10.1016/j.applthermaleng.2011.04.045.</w:t>
      </w:r>
    </w:p>
    <w:p>
      <w:pPr>
        <w:pStyle w:val="FirstParagraph"/>
      </w:pPr>
      <w:r>
        <w:rPr>
          <w:bCs/>
          <w:b/>
        </w:rPr>
        <w:t xml:space="preserve">源侧——水电</w:t>
      </w:r>
    </w:p>
    <w:p>
      <w:pPr>
        <w:numPr>
          <w:ilvl w:val="0"/>
          <w:numId w:val="1007"/>
        </w:numPr>
        <w:pStyle w:val="Compact"/>
      </w:pPr>
      <w:r>
        <w:t xml:space="preserve">Paish, O. (2002). Small hydro power: technology and current status.</w:t>
      </w:r>
      <w:r>
        <w:t xml:space="preserve"> </w:t>
      </w:r>
      <w:r>
        <w:rPr>
          <w:iCs/>
          <w:i/>
        </w:rPr>
        <w:t xml:space="preserve">Renewable and Sustainable Energy Reviews</w:t>
      </w:r>
      <w:r>
        <w:t xml:space="preserve">, 6(6), 537–556. DOI: 10.1016/S1364-0321(02)00006-0.</w:t>
      </w:r>
    </w:p>
    <w:p>
      <w:pPr>
        <w:pStyle w:val="FirstParagraph"/>
      </w:pPr>
      <w:r>
        <w:rPr>
          <w:bCs/>
          <w:b/>
        </w:rPr>
        <w:t xml:space="preserve">源侧——风电</w:t>
      </w:r>
    </w:p>
    <w:p>
      <w:pPr>
        <w:numPr>
          <w:ilvl w:val="0"/>
          <w:numId w:val="1008"/>
        </w:numPr>
        <w:pStyle w:val="Compact"/>
      </w:pPr>
      <w:r>
        <w:t xml:space="preserve">Manwell, J. F., McGowan, J. G., Rogers, A. L. (2009).</w:t>
      </w:r>
      <w:r>
        <w:t xml:space="preserve"> </w:t>
      </w:r>
      <w:r>
        <w:rPr>
          <w:iCs/>
          <w:i/>
        </w:rPr>
        <w:t xml:space="preserve">Wind Energy Explained: Theory, Design and Application</w:t>
      </w:r>
      <w:r>
        <w:t xml:space="preserve"> </w:t>
      </w:r>
      <w:r>
        <w:t xml:space="preserve">(2nd ed.). John Wiley &amp; Sons. （切入/额定/切出风速与功率曲线，第 2、3 章）</w:t>
      </w:r>
    </w:p>
    <w:p>
      <w:pPr>
        <w:numPr>
          <w:ilvl w:val="0"/>
          <w:numId w:val="1008"/>
        </w:numPr>
        <w:pStyle w:val="Compact"/>
      </w:pPr>
      <w:r>
        <w:t xml:space="preserve">Carrillo, C., Obando Montaño, A. F., Cidrás, J., Díaz-Dorado, E. (2013). Review of power curve modelling for wind turbines.</w:t>
      </w:r>
      <w:r>
        <w:t xml:space="preserve"> </w:t>
      </w:r>
      <w:r>
        <w:rPr>
          <w:iCs/>
          <w:i/>
        </w:rPr>
        <w:t xml:space="preserve">Renewable and Sustainable Energy Reviews</w:t>
      </w:r>
      <w:r>
        <w:t xml:space="preserve">, 21, 572–581. DOI: 10.1016/j.rser.2013.01.012.</w:t>
      </w:r>
    </w:p>
    <w:p>
      <w:pPr>
        <w:pStyle w:val="FirstParagraph"/>
      </w:pPr>
      <w:r>
        <w:rPr>
          <w:bCs/>
          <w:b/>
        </w:rPr>
        <w:t xml:space="preserve">源侧——光伏</w:t>
      </w:r>
    </w:p>
    <w:p>
      <w:pPr>
        <w:numPr>
          <w:ilvl w:val="0"/>
          <w:numId w:val="1009"/>
        </w:numPr>
        <w:pStyle w:val="Compact"/>
      </w:pPr>
      <w:r>
        <w:t xml:space="preserve">Skoplaki, E., Palyvos, J. A. (2009). On the temperature dependence of photovoltaic module electrical performance: A review of efficiency/power correlations.</w:t>
      </w:r>
      <w:r>
        <w:t xml:space="preserve"> </w:t>
      </w:r>
      <w:r>
        <w:rPr>
          <w:iCs/>
          <w:i/>
        </w:rPr>
        <w:t xml:space="preserve">Solar Energy</w:t>
      </w:r>
      <w:r>
        <w:t xml:space="preserve">, 83(5), 614–624. DOI: 10.1016/j.solener.2008.10.008.</w:t>
      </w:r>
    </w:p>
    <w:p>
      <w:pPr>
        <w:numPr>
          <w:ilvl w:val="0"/>
          <w:numId w:val="1009"/>
        </w:numPr>
        <w:pStyle w:val="Compact"/>
      </w:pPr>
      <w:r>
        <w:t xml:space="preserve">Duffie, J. A., Beckman, W. A. (2013).</w:t>
      </w:r>
      <w:r>
        <w:t xml:space="preserve"> </w:t>
      </w:r>
      <w:r>
        <w:rPr>
          <w:iCs/>
          <w:i/>
        </w:rPr>
        <w:t xml:space="preserve">Solar Engineering of Thermal Processes</w:t>
      </w:r>
      <w:r>
        <w:t xml:space="preserve"> </w:t>
      </w:r>
      <w:r>
        <w:t xml:space="preserve">(4th ed.). John Wiley &amp; Sons.（NOCT 电池温度模型，亦见 IEC 61215 / IEC 61853-2）</w:t>
      </w:r>
    </w:p>
    <w:p>
      <w:pPr>
        <w:pStyle w:val="FirstParagraph"/>
      </w:pPr>
      <w:r>
        <w:rPr>
          <w:bCs/>
          <w:b/>
        </w:rPr>
        <w:t xml:space="preserve">荷侧——温度响应</w:t>
      </w:r>
    </w:p>
    <w:p>
      <w:pPr>
        <w:numPr>
          <w:ilvl w:val="0"/>
          <w:numId w:val="1010"/>
        </w:numPr>
        <w:pStyle w:val="Compact"/>
      </w:pPr>
      <w:r>
        <w:t xml:space="preserve">Sailor, D. J., Muñoz, J. R. (1997). Sensitivity of electricity and natural gas consumption to climate in the USA — Methodology and results for eight states.</w:t>
      </w:r>
      <w:r>
        <w:t xml:space="preserve"> </w:t>
      </w:r>
      <w:r>
        <w:rPr>
          <w:iCs/>
          <w:i/>
        </w:rPr>
        <w:t xml:space="preserve">Energy</w:t>
      </w:r>
      <w:r>
        <w:t xml:space="preserve">, 22(10), 987–998. DOI: 10.1016/S0360-5442(97)00034-0.</w:t>
      </w:r>
    </w:p>
    <w:p>
      <w:pPr>
        <w:numPr>
          <w:ilvl w:val="0"/>
          <w:numId w:val="1010"/>
        </w:numPr>
        <w:pStyle w:val="Compact"/>
      </w:pPr>
      <w:r>
        <w:t xml:space="preserve">Sailor, D. J. (2001). Relating residential and commercial sector electricity loads to climate — Evaluating state level sensitivities and vulnerabilities.</w:t>
      </w:r>
      <w:r>
        <w:t xml:space="preserve"> </w:t>
      </w:r>
      <w:r>
        <w:rPr>
          <w:iCs/>
          <w:i/>
        </w:rPr>
        <w:t xml:space="preserve">Energy</w:t>
      </w:r>
      <w:r>
        <w:t xml:space="preserve">, 26(7), 645–657. DOI: 10.1016/S0360-5442(01)00023-8.</w:t>
      </w:r>
    </w:p>
    <w:p>
      <w:pPr>
        <w:pStyle w:val="FirstParagraph"/>
      </w:pPr>
      <w:r>
        <w:rPr>
          <w:bCs/>
          <w:b/>
        </w:rPr>
        <w:t xml:space="preserve">荷侧——负荷分级与切负荷惩罚（VOLL）</w:t>
      </w:r>
    </w:p>
    <w:p>
      <w:pPr>
        <w:numPr>
          <w:ilvl w:val="0"/>
          <w:numId w:val="1011"/>
        </w:numPr>
        <w:pStyle w:val="Compact"/>
      </w:pPr>
      <w:r>
        <w:t xml:space="preserve">中华人民共和国住房和城乡建设部. (2009). 《供配电系统设计规范》GB 50052—2009. 北京: 中国计划出版社.（电力负荷一级/二级/三级分级）</w:t>
      </w:r>
    </w:p>
    <w:p>
      <w:pPr>
        <w:numPr>
          <w:ilvl w:val="0"/>
          <w:numId w:val="1011"/>
        </w:numPr>
        <w:pStyle w:val="Compact"/>
      </w:pPr>
      <w:r>
        <w:t xml:space="preserve">Schröder, T., Kuckshinrichs, W. (2015). Value of Lost Load: An efficient economic indicator for power supply security? A literature review.</w:t>
      </w:r>
      <w:r>
        <w:t xml:space="preserve"> </w:t>
      </w:r>
      <w:r>
        <w:rPr>
          <w:iCs/>
          <w:i/>
        </w:rPr>
        <w:t xml:space="preserve">Frontiers in Energy Research</w:t>
      </w:r>
      <w:r>
        <w:t xml:space="preserve">, 3, 55. DOI: 10.3389/fenrg.2015.00055.</w:t>
      </w:r>
    </w:p>
    <w:p>
      <w:pPr>
        <w:pStyle w:val="BlockText"/>
      </w:pPr>
      <w:r>
        <w:t xml:space="preserve">说明：上述文献为各公式的</w:t>
      </w:r>
      <w:r>
        <w:rPr>
          <w:bCs/>
          <w:b/>
        </w:rPr>
        <w:t xml:space="preserve">模型形式与机理来源</w:t>
      </w:r>
      <w:r>
        <w:t xml:space="preserve">；模型中具体参数取值（如</w:t>
      </w:r>
      <w:r>
        <w:t xml:space="preserve"> </w:t>
      </w:r>
      <m:oMath>
        <m:r>
          <m:t>α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sub>
        </m:sSub>
      </m:oMath>
      <w:r>
        <w:t xml:space="preserve">、</w:t>
      </w:r>
      <m:oMath>
        <m:r>
          <m:t>β</m:t>
        </m:r>
      </m:oMath>
      <w:r>
        <w:t xml:space="preserve">、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等）为在文献给出的合理范围内、为构造”极热无风”典型失衡场景而设定的算例参数，可据实际系统数据替换。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2026-07-09T09:58:26Z</dcterms:created>
  <dcterms:modified xsi:type="dcterms:W3CDTF">2026-07-09T09:58:26Z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