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修改版-ieee-39-节点完整算例数据极热无风场景"/>
    <w:p>
      <w:pPr>
        <w:pStyle w:val="Heading1"/>
      </w:pPr>
      <w:r>
        <w:t xml:space="preserve">修改版 IEEE 39 节点完整算例数据（极热无风场景）</w:t>
      </w:r>
    </w:p>
    <w:p>
      <w:pPr>
        <w:pStyle w:val="FirstParagraph"/>
      </w:pPr>
      <w:r>
        <w:t xml:space="preserve">本文档给出基于</w:t>
      </w:r>
      <w:r>
        <w:t xml:space="preserve"> </w:t>
      </w:r>
      <w:r>
        <w:rPr>
          <w:bCs/>
          <w:b/>
        </w:rPr>
        <w:t xml:space="preserve">MATPOWER case39</w:t>
      </w:r>
      <w:r>
        <w:t xml:space="preserve">（New England 10 机 39 节点系统）修改后的</w:t>
      </w:r>
      <w:r>
        <w:rPr>
          <w:bCs/>
          <w:b/>
        </w:rPr>
        <w:t xml:space="preserve">完整算例数据</w:t>
      </w:r>
      <w:r>
        <w:t xml:space="preserve">，涵盖 39 个节点、46 条支路、10 台机组（火电/水电/风电/光伏四类）、21 个负荷节点及极热无风气象场景参数。</w:t>
      </w:r>
    </w:p>
    <w:p>
      <w:pPr>
        <w:pStyle w:val="BodyText"/>
      </w:pPr>
      <w:r>
        <w:t xml:space="preserve">功率单位</w:t>
      </w:r>
      <w:r>
        <w:t xml:space="preserve"> </w:t>
      </w:r>
      <w:r>
        <w:rPr>
          <w:bCs/>
          <w:b/>
        </w:rPr>
        <w:t xml:space="preserve">MW</w:t>
      </w:r>
      <w:r>
        <w:t xml:space="preserve">，基准容量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MVA</m:t>
        </m:r>
      </m:oMath>
      <w:r>
        <w:t xml:space="preserve">。MATLAB 数据文件：</w:t>
      </w:r>
      <w:r>
        <w:rPr>
          <w:rStyle w:val="VerbatimChar"/>
        </w:rPr>
        <w:t xml:space="preserve">matlab/case39_ehnw.m</w:t>
      </w:r>
      <w:r>
        <w:t xml:space="preserve">、</w:t>
      </w:r>
      <w:r>
        <w:rPr>
          <w:rStyle w:val="VerbatimChar"/>
        </w:rPr>
        <w:t xml:space="preserve">matlab/weather_scenario.m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1" w:name="系统概况"/>
    <w:p>
      <w:pPr>
        <w:pStyle w:val="Heading2"/>
      </w:pPr>
      <w:r>
        <w:t xml:space="preserve">1. 系统概况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case39_ehnw（Extreme Heat / No Wind）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机组数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10（水电 1 + 火电 6 + 风电 2 + 光伏 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负荷节点数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基准负荷合计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6254.23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机组铭牌总容量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平衡节点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31（G2，火电-燃煤）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电压等级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 kV</w:t>
            </w:r>
          </w:p>
        </w:tc>
      </w:tr>
    </w:tbl>
    <w:bookmarkStart w:id="20" w:name="相对原始-case39-的主要修改"/>
    <w:p>
      <w:pPr>
        <w:pStyle w:val="Heading3"/>
      </w:pPr>
      <w:r>
        <w:t xml:space="preserve">1.1 相对原始 case39 的主要修改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修改项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机组类型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 10 台核电/火电/水电重新指派为四类电源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额定容量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按四类机组重新设定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发电成本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设二次成本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P</m:t>
              </m:r>
            </m:oMath>
            <w:r>
              <w:t xml:space="preserve">（$/h）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genOps</w:t>
            </w:r>
            <w:r>
              <w:t xml:space="preserve">：基准出力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0</m:t>
                  </m:r>
                </m:sup>
              </m:sSup>
            </m:oMath>
            <w:r>
              <w:t xml:space="preserve">、爬坡率、水电电量系数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负荷模型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保留原始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，供温度修正与三级切负荷拆分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节点数据39-节点完整表"/>
    <w:p>
      <w:pPr>
        <w:pStyle w:val="Heading2"/>
      </w:pPr>
      <w:r>
        <w:t xml:space="preserve">2. 节点数据（39 节点完整表）</w:t>
      </w:r>
    </w:p>
    <w:p>
      <w:pPr>
        <w:pStyle w:val="FirstParagraph"/>
      </w:pPr>
      <w:r>
        <w:t xml:space="preserve">节点类型：1 = PQ 负荷节点，2 = PV 发电节点，3 = 平衡节点。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 负荷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水电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火电-燃煤（slack）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 火电-燃煤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 火电-燃气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火电-燃煤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G6 风电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G7 光伏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G8 风电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G9 火电-燃煤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发电+负荷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G10 火电-燃气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支路数据46-条完整表"/>
    <w:p>
      <w:pPr>
        <w:pStyle w:val="Heading2"/>
      </w:pPr>
      <w:r>
        <w:t xml:space="preserve">3. 支路数据（46 条完整表）</w:t>
      </w:r>
    </w:p>
    <w:p>
      <w:pPr>
        <w:pStyle w:val="FirstParagraph"/>
      </w:pPr>
      <w:r>
        <w:t xml:space="preserve">列说明：</w:t>
      </w:r>
      <w:r>
        <w:rPr>
          <w:rStyle w:val="VerbatimChar"/>
        </w:rPr>
        <w:t xml:space="preserve">fbus/tbus</w:t>
      </w:r>
      <w:r>
        <w:t xml:space="preserve"> </w:t>
      </w:r>
      <w:r>
        <w:t xml:space="preserve">起止节点，</w:t>
      </w:r>
      <w:r>
        <w:rPr>
          <w:rStyle w:val="VerbatimChar"/>
        </w:rPr>
        <w:t xml:space="preserve">x</w:t>
      </w:r>
      <w:r>
        <w:t xml:space="preserve"> </w:t>
      </w:r>
      <w:r>
        <w:t xml:space="preserve">电抗 (p.u.)，</w:t>
      </w:r>
      <w:r>
        <w:rPr>
          <w:rStyle w:val="VerbatimChar"/>
        </w:rPr>
        <w:t xml:space="preserve">rateA</w:t>
      </w:r>
      <w:r>
        <w:t xml:space="preserve"> </w:t>
      </w:r>
      <w:r>
        <w:t xml:space="preserve">热稳限额 (MW)，</w:t>
      </w:r>
      <w:r>
        <w:rPr>
          <w:rStyle w:val="VerbatimChar"/>
        </w:rPr>
        <w:t xml:space="preserve">tap</w:t>
      </w:r>
      <w:r>
        <w:t xml:space="preserve"> </w:t>
      </w:r>
      <w:r>
        <w:t xml:space="preserve">支路变比（0 表示 1.0，非 0 为含变比支路）。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 (p.u.)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rateA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</w:tr>
    </w:tbl>
    <w:p>
      <w:pPr>
        <w:pStyle w:val="BlockText"/>
      </w:pPr>
      <w:r>
        <w:t xml:space="preserve">支路电阻</w:t>
      </w:r>
      <w:r>
        <w:t xml:space="preserve"> </w:t>
      </w:r>
      <m:oMath>
        <m:r>
          <m:t>r</m:t>
        </m:r>
      </m:oMath>
      <w:r>
        <w:t xml:space="preserve">、电纳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在 DC 最优潮流中不使用；电抗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与变比</w:t>
      </w:r>
      <w:r>
        <w:t xml:space="preserve"> </w:t>
      </w:r>
      <w:r>
        <w:rPr>
          <w:rStyle w:val="VerbatimChar"/>
        </w:rPr>
        <w:t xml:space="preserve">tap</w:t>
      </w:r>
      <w:r>
        <w:t xml:space="preserve"> </w:t>
      </w:r>
      <w:r>
        <w:t xml:space="preserve">取自 MATPOWER case39。</w:t>
      </w:r>
    </w:p>
    <w:p>
      <w:r>
        <w:pict>
          <v:rect style="width:0;height:1.5pt" o:hralign="center" o:hrstd="t" o:hr="t"/>
        </w:pict>
      </w:r>
    </w:p>
    <w:bookmarkEnd w:id="23"/>
    <w:bookmarkStart w:id="24" w:name="发电机数据10-台完整表"/>
    <w:p>
      <w:pPr>
        <w:pStyle w:val="Heading2"/>
      </w:pPr>
      <w:r>
        <w:t xml:space="preserve">4. 发电机数据（10 台完整表）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4"/>
        <w:gridCol w:w="408"/>
        <w:gridCol w:w="489"/>
        <w:gridCol w:w="489"/>
        <w:gridCol w:w="2367"/>
        <w:gridCol w:w="1469"/>
        <w:gridCol w:w="571"/>
        <w:gridCol w:w="571"/>
        <w:gridCol w:w="13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燃料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p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min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原 case39 机组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nuke01（平衡机）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nuke02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nuke03→改风电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fossil04→改光伏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nuke04→改风电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nuke05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interconnection</w:t>
            </w:r>
          </w:p>
        </w:tc>
      </w:tr>
    </w:tbl>
    <w:p>
      <w:pPr>
        <w:pStyle w:val="BodyText"/>
      </w:pPr>
      <w:r>
        <w:t xml:space="preserve">发电成本：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sSub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（$/h）。</w:t>
      </w:r>
    </w:p>
    <w:p>
      <w:r>
        <w:pict>
          <v:rect style="width:0;height:1.5pt" o:hralign="center" o:hrstd="t" o:hr="t"/>
        </w:pict>
      </w:r>
    </w:p>
    <w:bookmarkEnd w:id="24"/>
    <w:bookmarkStart w:id="25" w:name="机组运行参数-genops"/>
    <w:p>
      <w:pPr>
        <w:pStyle w:val="Heading2"/>
      </w:pPr>
      <w:r>
        <w:t xml:space="preserve">5. 机组运行参数</w:t>
      </w:r>
      <w:r>
        <w:t xml:space="preserve"> </w:t>
      </w:r>
      <w:r>
        <w:rPr>
          <w:rStyle w:val="VerbatimChar"/>
        </w:rPr>
        <w:t xml:space="preserve">genOps</w:t>
      </w:r>
    </w:p>
    <w:p>
      <w:pPr>
        <w:pStyle w:val="FirstParagraph"/>
      </w:pPr>
      <w:r>
        <w:t xml:space="preserve">用于调度区间、爬坡与水电水库电量约束（</w:t>
      </w:r>
      <w:r>
        <w:rPr>
          <w:rStyle w:val="VerbatimChar"/>
        </w:rPr>
        <w:t xml:space="preserve">source_dispatch_bounds.m</w:t>
      </w:r>
      <w:r>
        <w:t xml:space="preserve">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"/>
        <w:gridCol w:w="1624"/>
        <w:gridCol w:w="1218"/>
        <w:gridCol w:w="1218"/>
        <w:gridCol w:w="35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爬坡上升率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爬坡下降率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可用电量系数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numPr>
          <w:ilvl w:val="0"/>
          <w:numId w:val="1001"/>
        </w:numPr>
        <w:pStyle w:val="Compact"/>
      </w:pPr>
      <m:oMath>
        <m:sSubSup>
          <m:e>
            <m:r>
              <m:t>P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t xml:space="preserve">：上一时段基准出力，取自 MATPOWER case39 同母线原始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（风光取 0）</w:t>
      </w:r>
    </w:p>
    <w:p>
      <w:pPr>
        <w:numPr>
          <w:ilvl w:val="0"/>
          <w:numId w:val="1001"/>
        </w:numPr>
        <w:pStyle w:val="Compact"/>
      </w:pPr>
      <w:r>
        <w:t xml:space="preserve">爬坡率：相对额定容量，单位 1/h；调度时段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h</m:t>
        </m:r>
      </m:oMath>
    </w:p>
    <w:p>
      <w:pPr>
        <w:numPr>
          <w:ilvl w:val="0"/>
          <w:numId w:val="1001"/>
        </w:numPr>
        <w:pStyle w:val="Compact"/>
      </w:pPr>
      <w:r>
        <w:t xml:space="preserve">水电可用电量：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⋅</m:t>
        </m:r>
        <m:r>
          <m:t>Δ</m:t>
        </m:r>
        <m:r>
          <m:t>t</m:t>
        </m:r>
      </m:oMath>
    </w:p>
    <w:p>
      <w:r>
        <w:pict>
          <v:rect style="width:0;height:1.5pt" o:hralign="center" o:hrstd="t" o:hr="t"/>
        </w:pict>
      </w:r>
    </w:p>
    <w:bookmarkEnd w:id="25"/>
    <w:bookmarkStart w:id="28" w:name="负荷分类与极热修正21-个负荷节点"/>
    <w:p>
      <w:pPr>
        <w:pStyle w:val="Heading2"/>
      </w:pPr>
      <w:r>
        <w:t xml:space="preserve">6. 负荷分类与极热修正（21 个负荷节点）</w:t>
      </w:r>
    </w:p>
    <w:bookmarkStart w:id="26" w:name="负荷分类规则"/>
    <w:p>
      <w:pPr>
        <w:pStyle w:val="Heading3"/>
      </w:pPr>
      <w:r>
        <w:t xml:space="preserve">6.1 负荷分类规则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温度敏感性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刚性比例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温度敏感性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温敏(空调)比例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舒适基准温度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 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温度灵敏度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0.020 /℃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一级(关键)比例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0.20，VOLL = 10000 $/MWh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二级(重要)比例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0.30，VOLL = 5000 $/MWh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三级(可中断)比例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0.50，VOLL = 1000 $/MWh</w:t>
            </w:r>
          </w:p>
        </w:tc>
      </w:tr>
    </w:tbl>
    <w:p>
      <w:pPr>
        <w:pStyle w:val="BodyText"/>
      </w:pPr>
      <w:r>
        <w:t xml:space="preserve">温度修正公式：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0.6</m:t>
          </m:r>
          <m:r>
            <m:t> 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t>j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+</m:t>
          </m:r>
          <m:r>
            <m:t>0.4</m:t>
          </m:r>
          <m:r>
            <m:t> 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t>j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0.02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bookmarkEnd w:id="26"/>
    <w:bookmarkStart w:id="27" w:name="极热场景t40各节点需求"/>
    <w:p>
      <w:pPr>
        <w:pStyle w:val="Heading3"/>
      </w:pPr>
      <w:r>
        <w:t xml:space="preserve">6.2 极热场景（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</m:oMath>
      <w:r>
        <w:t xml:space="preserve">）各节点需求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2"/>
        <w:gridCol w:w="2074"/>
        <w:gridCol w:w="1508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一级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二级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367.20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6254.23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6754.57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1350.91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2026.37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3377.29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极热无风气象场景参数"/>
    <w:p>
      <w:pPr>
        <w:pStyle w:val="Heading2"/>
      </w:pPr>
      <w:r>
        <w:t xml:space="preserve">7. 极热无风气象场景参数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调度时段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单时段快照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环境温度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 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无风（&lt; 切入 3 m/s）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辐照度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900 W/m²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强辐照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火电参考温度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 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燃煤降容系数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0.005 /℃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燃气降容系数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0.009 /℃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水电枯水系数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风电切入风速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 m/s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风电额定风速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12 m/s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风电切出风速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25 m/s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光伏 STC 辐照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1000 W/m²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光伏 STC 温度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25 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光伏 NOCT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45 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光伏温度系数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-0.004 /℃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极热场景下源侧降容与调度区间"/>
    <w:p>
      <w:pPr>
        <w:pStyle w:val="Heading2"/>
      </w:pPr>
      <w:r>
        <w:t xml:space="preserve">8. 极热场景下源侧降容与调度区间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"/>
        <w:gridCol w:w="565"/>
        <w:gridCol w:w="2074"/>
        <w:gridCol w:w="1980"/>
        <w:gridCol w:w="1131"/>
        <w:gridCol w:w="942"/>
        <w:gridCol w:w="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max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min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调度下界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调度上界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6008.4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6008.4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matlab-代码文件与用法"/>
    <w:p>
      <w:pPr>
        <w:pStyle w:val="Heading2"/>
      </w:pPr>
      <w:r>
        <w:t xml:space="preserve">9. MATLAB 代码文件与用法</w:t>
      </w:r>
    </w:p>
    <w:bookmarkStart w:id="31" w:name="数据文件核心"/>
    <w:p>
      <w:pPr>
        <w:pStyle w:val="Heading3"/>
      </w:pPr>
      <w:r>
        <w:t xml:space="preserve">9.1 数据文件（核心）</w:t>
      </w:r>
    </w:p>
    <w:p>
      <w:pPr>
        <w:pStyle w:val="FirstParagraph"/>
      </w:pPr>
      <w:r>
        <w:rPr>
          <w:rStyle w:val="VerbatimChar"/>
          <w:bCs/>
          <w:b/>
        </w:rPr>
        <w:t xml:space="preserve">matlab/case39_ehnw.m</w:t>
      </w:r>
      <w:r>
        <w:t xml:space="preserve"> </w:t>
      </w:r>
      <w:r>
        <w:t xml:space="preserve">— 算例主数据：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case39_ehnw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baseMVA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slackBus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nBus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busPd0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21 个负荷节点基准有功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branch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46 条支路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gen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10 台机组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mpc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genOps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运行参数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Style w:val="VerbatimChar"/>
          <w:bCs/>
          <w:b/>
        </w:rPr>
        <w:t xml:space="preserve">matlab/weather_scenario.m</w:t>
      </w:r>
      <w:r>
        <w:t xml:space="preserve"> </w:t>
      </w:r>
      <w:r>
        <w:t xml:space="preserve">— 气象与荷侧参数：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weather_scenario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dt_h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T_amb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wind_speed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irradiance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... 其余参数见源文件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辅助脚本"/>
    <w:p>
      <w:pPr>
        <w:pStyle w:val="Heading3"/>
      </w:pPr>
      <w:r>
        <w:t xml:space="preserve">9.2 辅助脚本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print_case39_ehnw_data.m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打印算例数据 +</w:t>
            </w:r>
            <w:r>
              <w:t xml:space="preserve"> </w:t>
            </w:r>
            <w:r>
              <w:rPr>
                <w:bCs/>
                <w:b/>
              </w:rPr>
              <w:t xml:space="preserve">求解后完整基准状态</w:t>
            </w:r>
            <w:r>
              <w:t xml:space="preserve">（发电机/节点/负荷/支路潮流）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print_baseline_state.m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打印求解后系统运行基准状态（【9】–【13】）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fault_probability.m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第四步</w:t>
            </w:r>
            <w:r>
              <w:t xml:space="preserve">：节点变压器/电源/线路故障概率（见</w:t>
            </w:r>
            <w:r>
              <w:t xml:space="preserve"> </w:t>
            </w:r>
            <w:r>
              <w:rPr>
                <w:rStyle w:val="VerbatimChar"/>
              </w:rPr>
              <w:t xml:space="preserve">docs/04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monte_carlo_fault_scenarios.m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第五步</w:t>
            </w:r>
            <w:r>
              <w:t xml:space="preserve">：生成 2000 个 85 维 0/1 故障场景（见</w:t>
            </w:r>
            <w:r>
              <w:t xml:space="preserve"> </w:t>
            </w:r>
            <w:r>
              <w:rPr>
                <w:rStyle w:val="VerbatimChar"/>
              </w:rPr>
              <w:t xml:space="preserve">docs/05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baseline_state_ref.m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基准状态参考数值（无 Gurobi 时对照）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derate_sources.m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计算源侧降容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max</m:t>
                  </m:r>
                </m:sup>
              </m:sSup>
            </m:oMath>
            <w:r>
              <w:t xml:space="preserve">、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min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source_dispatch_bounds.m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计算调度下界/上界（含爬坡、水电电量）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load_temperature.m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计算荷侧温度修正需求与三级拆分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build_and_solve_dcopf.m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构建并用 Gurobi 求解 DC-OPF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run_extreme_heat_opf.m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主程序入口</w:t>
            </w:r>
          </w:p>
        </w:tc>
      </w:tr>
    </w:tbl>
    <w:bookmarkEnd w:id="32"/>
    <w:bookmarkStart w:id="33" w:name="运行步骤"/>
    <w:p>
      <w:pPr>
        <w:pStyle w:val="Heading3"/>
      </w:pPr>
      <w:r>
        <w:t xml:space="preserve">9.3 运行步骤</w:t>
      </w:r>
    </w:p>
    <w:p>
      <w:pPr>
        <w:pStyle w:val="SourceCode"/>
      </w:pPr>
      <w:r>
        <w:rPr>
          <w:rStyle w:val="CommentTok"/>
        </w:rPr>
        <w:t xml:space="preserve">% 1) 配置 Gurobi（首次）</w:t>
      </w:r>
      <w:r>
        <w:br/>
      </w:r>
      <w:r>
        <w:rPr>
          <w:rStyle w:val="VariableTok"/>
        </w:rPr>
        <w:t xml:space="preserve">addpath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'/opt/gurobi/matlab'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按实际路径修改</w:t>
      </w:r>
      <w:r>
        <w:br/>
      </w:r>
      <w:r>
        <w:rPr>
          <w:rStyle w:val="VariableTok"/>
        </w:rPr>
        <w:t xml:space="preserve">gurobi_setup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2) 查看完整算例数据</w:t>
      </w:r>
      <w:r>
        <w:br/>
      </w:r>
      <w:r>
        <w:rPr>
          <w:rStyle w:val="Variable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matlab</w:t>
      </w:r>
      <w:r>
        <w:br/>
      </w:r>
      <w:r>
        <w:rPr>
          <w:rStyle w:val="VariableTok"/>
        </w:rPr>
        <w:t xml:space="preserve">print_case39_ehnw_data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3) 加载数据</w:t>
      </w:r>
      <w:r>
        <w:br/>
      </w:r>
      <w:r>
        <w:rPr>
          <w:rStyle w:val="VariableTok"/>
        </w:rPr>
        <w:t xml:space="preserve">mpc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case39_ehnw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sc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weather_scenario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4) 运行极热场景最优调度</w:t>
      </w:r>
      <w:r>
        <w:br/>
      </w:r>
      <w:r>
        <w:rPr>
          <w:rStyle w:val="VariableTok"/>
        </w:rPr>
        <w:t xml:space="preserve">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run_extreme_heat_opf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3"/>
    <w:bookmarkStart w:id="34" w:name="期望求解结果t40-v2-ms"/>
    <w:p>
      <w:pPr>
        <w:pStyle w:val="Heading3"/>
      </w:pPr>
      <w:r>
        <w:t xml:space="preserve">9.4 期望求解结果（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m/s）</w:t>
      </w:r>
    </w:p>
    <w:p>
      <w:pPr>
        <w:pStyle w:val="SourceCode"/>
      </w:pPr>
      <w:r>
        <w:rPr>
          <w:rStyle w:val="VerbatimChar"/>
        </w:rPr>
        <w:t xml:space="preserve">目标函数最优值  : 1011492.52  ($/h)</w:t>
      </w:r>
      <w:r>
        <w:br/>
      </w:r>
      <w:r>
        <w:rPr>
          <w:rStyle w:val="VerbatimChar"/>
        </w:rPr>
        <w:t xml:space="preserve">  发电成本      :   248686.62  ($/h)</w:t>
      </w:r>
      <w:r>
        <w:br/>
      </w:r>
      <w:r>
        <w:rPr>
          <w:rStyle w:val="VerbatimChar"/>
        </w:rPr>
        <w:t xml:space="preserve">  切负荷惩罚成本:   762805.90  ($/h)</w:t>
      </w:r>
      <w:r>
        <w:br/>
      </w:r>
      <w:r>
        <w:rPr>
          <w:rStyle w:val="VerbatimChar"/>
        </w:rPr>
        <w:t xml:space="preserve">极热修正后总需求 : 6754.6 MW</w:t>
      </w:r>
      <w:r>
        <w:br/>
      </w:r>
      <w:r>
        <w:rPr>
          <w:rStyle w:val="VerbatimChar"/>
        </w:rPr>
        <w:t xml:space="preserve">总切负荷         :  762.8 MW (11.29%，全部为三级可中断负荷)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数据文件对照"/>
    <w:p>
      <w:pPr>
        <w:pStyle w:val="Heading2"/>
      </w:pPr>
      <w:r>
        <w:t xml:space="preserve">10. 数据文件对照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算例数据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matlab/case39_ehnw.m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verify/case_data.py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气象场景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matlab/weather_scenario.m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verify/case_data.py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verify/verify_dcopf.py</w:t>
            </w:r>
          </w:p>
        </w:tc>
      </w:tr>
    </w:tbl>
    <w:p>
      <w:pPr>
        <w:pStyle w:val="BodyText"/>
      </w:pPr>
      <w:r>
        <w:t xml:space="preserve">两套实现数值完全一致，可在无 MATLAB/Gurobi 时用 Python 交叉校验。</w:t>
      </w:r>
    </w:p>
    <w:p>
      <w:r>
        <w:pict>
          <v:rect style="width:0;height:1.5pt" o:hralign="center" o:hrstd="t" o:hr="t"/>
        </w:pict>
      </w:r>
    </w:p>
    <w:bookmarkEnd w:id="36"/>
    <w:bookmarkStart w:id="43" w:name="极热场景求解后系统运行基准状态dc-opf-最优解"/>
    <w:p>
      <w:pPr>
        <w:pStyle w:val="Heading2"/>
      </w:pPr>
      <w:r>
        <w:t xml:space="preserve">11. 极热场景求解后系统运行基准状态（DC-OPF 最优解）</w:t>
      </w:r>
    </w:p>
    <w:p>
      <w:pPr>
        <w:pStyle w:val="FirstParagraph"/>
      </w:pPr>
      <w:r>
        <w:t xml:space="preserve">以下为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℃</m:t>
        </m:r>
      </m:oMath>
      <w:r>
        <w:t xml:space="preserve">、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、</w:t>
      </w:r>
      <m:oMath>
        <m:r>
          <m:t>G</m:t>
        </m:r>
        <m:r>
          <m:rPr>
            <m:sty m:val="p"/>
          </m:rPr>
          <m:t>=</m:t>
        </m:r>
        <m:r>
          <m:t>900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条件下 DC-OPF 最优解，供后续极热条件下元件故障概率分析使用。潮流正方向为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（MW）；负值表示功率由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t xml:space="preserve">流向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。</w:t>
      </w:r>
    </w:p>
    <w:bookmarkStart w:id="37" w:name="求解汇总"/>
    <w:p>
      <w:pPr>
        <w:pStyle w:val="Heading3"/>
      </w:pPr>
      <w:r>
        <w:t xml:space="preserve">11.1 求解汇总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求解状态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目标函数最优值 (</w:t>
            </w:r>
            <m:oMath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1011492.52</m:t>
                  </m:r>
                </m:e>
              </m:d>
              <m:r>
                <m:rPr>
                  <m:sty m:val="p"/>
                </m:rPr>
                <m:t>|</m:t>
              </m:r>
              <m:r>
                <m:t>发</m:t>
              </m:r>
              <m:r>
                <m:t>电</m:t>
              </m:r>
              <m:r>
                <m:t>成</m:t>
              </m:r>
              <m:r>
                <m:t>本</m:t>
              </m:r>
              <m:r>
                <m:rPr>
                  <m:sty m:val="p"/>
                </m:rPr>
                <m:t>(</m:t>
              </m:r>
            </m:oMath>
            <w:r>
              <w:t xml:space="preserve">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248686.62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切负荷惩罚成本 ($/h)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762805.90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总发电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极热修正总需求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6754.57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总切负荷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762.81 (11.29%)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实际供电负荷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线路最大负载率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越限线路数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37"/>
    <w:bookmarkStart w:id="38" w:name="发电机出力10-台"/>
    <w:p>
      <w:pPr>
        <w:pStyle w:val="Heading3"/>
      </w:pPr>
      <w:r>
        <w:t xml:space="preserve">11.2 发电机出力（10 台）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调度下界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调度上界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利用率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火电-gas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5991.76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节点运行状态39-节点"/>
    <w:p>
      <w:pPr>
        <w:pStyle w:val="Heading3"/>
      </w:pPr>
      <w:r>
        <w:t xml:space="preserve">11.3 节点运行状态（39 节点）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1"/>
        <w:gridCol w:w="1225"/>
        <w:gridCol w:w="1131"/>
        <w:gridCol w:w="1225"/>
        <w:gridCol w:w="1225"/>
        <w:gridCol w:w="1414"/>
        <w:gridCol w:w="122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切负荷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实际供电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净注入 (MW)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-292.53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-468.87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-212.91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-501.99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-289.10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-297.91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-139.44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-734.40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-244.97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-221.43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-276.70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-206.22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-124.45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-255.11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-187.17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772.14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651.90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-162.05</w:t>
            </w:r>
          </w:p>
        </w:tc>
      </w:tr>
    </w:tbl>
    <w:bookmarkEnd w:id="39"/>
    <w:bookmarkStart w:id="40" w:name="负荷与切负荷明细21-个负荷节点"/>
    <w:p>
      <w:pPr>
        <w:pStyle w:val="Heading3"/>
      </w:pPr>
      <w:r>
        <w:t xml:space="preserve">11.4 负荷与切负荷明细（21 个负荷节点）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2"/>
        <w:gridCol w:w="869"/>
        <w:gridCol w:w="772"/>
        <w:gridCol w:w="965"/>
        <w:gridCol w:w="965"/>
        <w:gridCol w:w="965"/>
        <w:gridCol w:w="965"/>
        <w:gridCol w:w="965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一级需求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二级需求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三级需求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切除三级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切除合计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实际供电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1164.80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6254.23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6754.57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762.81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762.81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5991.76</w:t>
            </w:r>
          </w:p>
        </w:tc>
      </w:tr>
    </w:tbl>
    <w:p>
      <w:pPr>
        <w:pStyle w:val="BlockText"/>
      </w:pPr>
      <w:r>
        <w:t xml:space="preserve">最优解仅切除</w:t>
      </w:r>
      <w:r>
        <w:rPr>
          <w:bCs/>
          <w:b/>
        </w:rPr>
        <w:t xml:space="preserve">三级（可中断）负荷</w:t>
      </w:r>
      <w:r>
        <w:t xml:space="preserve">，一/二级关键负荷切除量均为 0。</w:t>
      </w:r>
    </w:p>
    <w:bookmarkEnd w:id="40"/>
    <w:bookmarkStart w:id="41" w:name="支路潮流46-条完整表含变比支路"/>
    <w:p>
      <w:pPr>
        <w:pStyle w:val="Heading3"/>
      </w:pPr>
      <w:r>
        <w:t xml:space="preserve">11.5 支路潮流（46 条完整表；含变比支路）</w:t>
      </w:r>
    </w:p>
    <w:p>
      <w:pPr>
        <w:pStyle w:val="FirstParagraph"/>
      </w:pPr>
      <w:r>
        <w:t xml:space="preserve">列说明：</w:t>
      </w:r>
      <w:r>
        <w:rPr>
          <w:rStyle w:val="VerbatimChar"/>
        </w:rPr>
        <w:t xml:space="preserve">类型</w:t>
      </w:r>
      <w:r>
        <w:t xml:space="preserve"> </w:t>
      </w:r>
      <w:r>
        <w:t xml:space="preserve">为线路或</w:t>
      </w:r>
      <w:r>
        <w:rPr>
          <w:bCs/>
          <w:b/>
        </w:rPr>
        <w:t xml:space="preserve">变比支路</w:t>
      </w:r>
      <w:r>
        <w:t xml:space="preserve">（</w:t>
      </w:r>
      <w:r>
        <w:rPr>
          <w:rStyle w:val="VerbatimChar"/>
        </w:rPr>
        <w:t xml:space="preserve">tap≠0</w:t>
      </w:r>
      <w:r>
        <w:t xml:space="preserve"> </w:t>
      </w:r>
      <w:r>
        <w:t xml:space="preserve">的含变比支路）；</w:t>
      </w:r>
      <w:r>
        <w:rPr>
          <w:rStyle w:val="VerbatimChar"/>
        </w:rPr>
        <w:t xml:space="preserve">tap</w:t>
      </w:r>
      <w:r>
        <w:t xml:space="preserve"> </w:t>
      </w:r>
      <w:r>
        <w:t xml:space="preserve">为变比（线路取 1.0）；</w:t>
      </w:r>
      <w:r>
        <w:rPr>
          <w:rStyle w:val="VerbatimChar"/>
        </w:rPr>
        <w:t xml:space="preserve">潮流</w:t>
      </w:r>
      <w:r>
        <w:t xml:space="preserve"> </w:t>
      </w:r>
      <w:r>
        <w:t xml:space="preserve">为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t xml:space="preserve">方向有功 (MW)。</w:t>
      </w:r>
    </w:p>
    <w:p>
      <w:pPr>
        <w:pStyle w:val="BlockText"/>
      </w:pPr>
      <w:r>
        <w:t xml:space="preserve">注：</w:t>
      </w:r>
      <w:r>
        <w:rPr>
          <w:rStyle w:val="VerbatimChar"/>
        </w:rPr>
        <w:t xml:space="preserve">tap≠0</w:t>
      </w:r>
      <w:r>
        <w:t xml:space="preserve"> </w:t>
      </w:r>
      <w:r>
        <w:t xml:space="preserve">的 12 条支路是 DC 模型中的</w:t>
      </w:r>
      <w:r>
        <w:rPr>
          <w:bCs/>
          <w:b/>
        </w:rPr>
        <w:t xml:space="preserve">含变比支路</w:t>
      </w:r>
      <w:r>
        <w:t xml:space="preserve">，仅用于潮流计算；本研究的</w:t>
      </w:r>
      <w:r>
        <w:rPr>
          <w:bCs/>
          <w:b/>
        </w:rPr>
        <w:t xml:space="preserve">物理变压器</w:t>
      </w:r>
      <w:r>
        <w:t xml:space="preserve">按”每个非电源节点一台同型号”建模（见第 12 节与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），与这些支路不是同一对象。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0"/>
        <w:gridCol w:w="660"/>
        <w:gridCol w:w="660"/>
        <w:gridCol w:w="660"/>
        <w:gridCol w:w="550"/>
        <w:gridCol w:w="1210"/>
        <w:gridCol w:w="1210"/>
        <w:gridCol w:w="132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潮流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限额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负载率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功率方向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2→25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30→2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4→3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3→18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14→4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5→8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6→7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31→6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7→8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8→9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9→39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10→11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10→13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32→10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12→13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13→14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14→15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17→16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19→16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16→24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17→18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27→17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33→19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23→22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23→24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36→23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25→26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37→25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26→27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28→26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29→26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29→28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38→29</w:t>
            </w:r>
          </w:p>
        </w:tc>
      </w:tr>
    </w:tbl>
    <w:bookmarkEnd w:id="41"/>
    <w:bookmarkStart w:id="42" w:name="含变比tap0支路潮流专表12-条"/>
    <w:p>
      <w:pPr>
        <w:pStyle w:val="Heading3"/>
      </w:pPr>
      <w:r>
        <w:t xml:space="preserve">11.6 含变比(tap≠0)支路潮流专表（12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"/>
        <w:gridCol w:w="720"/>
        <w:gridCol w:w="720"/>
        <w:gridCol w:w="600"/>
        <w:gridCol w:w="1320"/>
        <w:gridCol w:w="1320"/>
        <w:gridCol w:w="144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潮流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限额 (MW)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负载率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功率方向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30→2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31→6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32→10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11→12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12→13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33→19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34→20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22→35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36→23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37→25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38→29</w:t>
            </w:r>
          </w:p>
        </w:tc>
      </w:tr>
    </w:tbl>
    <w:p>
      <w:pPr>
        <w:pStyle w:val="BlockText"/>
      </w:pPr>
      <w:r>
        <w:t xml:space="preserve">满载断面：L27（bus 16–19），负载率 100.0%。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后续分析节点变压器建模说明"/>
    <w:p>
      <w:pPr>
        <w:pStyle w:val="Heading2"/>
      </w:pPr>
      <w:r>
        <w:t xml:space="preserve">12. 后续分析：节点变压器建模说明</w:t>
      </w:r>
    </w:p>
    <w:p>
      <w:pPr>
        <w:pStyle w:val="FirstParagraph"/>
      </w:pPr>
      <w:r>
        <w:t xml:space="preserve">从第四步故障概率分析（</w:t>
      </w:r>
      <w:r>
        <w:rPr>
          <w:rStyle w:val="VerbatimChar"/>
        </w:rPr>
        <w:t xml:space="preserve">docs/04</w:t>
      </w:r>
      <w:r>
        <w:t xml:space="preserve">）起，采用如下</w:t>
      </w:r>
      <w:r>
        <w:rPr>
          <w:bCs/>
          <w:b/>
        </w:rPr>
        <w:t xml:space="preserve">与 DC-OPF 支路拓扑相区分</w:t>
      </w:r>
      <w:r>
        <w:t xml:space="preserve">的变压器假设：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DC-OPF 含变比支路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3、11.5–11.6 节</w:t>
            </w:r>
            <w:r>
              <w:t xml:space="preserve"> </w:t>
            </w:r>
            <w:r>
              <w:rPr>
                <w:rStyle w:val="VerbatimChar"/>
              </w:rPr>
              <w:t xml:space="preserve">tap≠0</w:t>
            </w:r>
            <w:r>
              <w:t xml:space="preserve"> </w:t>
            </w:r>
            <w:r>
              <w:t xml:space="preserve">支路，仅用于潮流计算（</w:t>
            </w:r>
            <w:r>
              <w:rPr>
                <w:bCs/>
                <w:b/>
              </w:rPr>
              <w:t xml:space="preserve">非物理变压器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节点变压器（故障分析）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29 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每个非电源节点 1 台</w:t>
            </w:r>
            <w:r>
              <w:t xml:space="preserve">（bus 1–29），型号相同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电源节点（不设节点变压器）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30–39（与</w:t>
            </w:r>
            <w:r>
              <w:t xml:space="preserve"> </w:t>
            </w:r>
            <w:r>
              <w:rPr>
                <w:rStyle w:val="VerbatimChar"/>
              </w:rPr>
              <w:t xml:space="preserve">mpc.gen</w:t>
            </w:r>
            <w:r>
              <w:t xml:space="preserve"> </w:t>
            </w:r>
            <w:r>
              <w:t xml:space="preserve">对应）</w:t>
            </w:r>
          </w:p>
        </w:tc>
      </w:tr>
    </w:tbl>
    <w:p>
      <w:pPr>
        <w:pStyle w:val="BodyText"/>
      </w:pPr>
      <w:r>
        <w:t xml:space="preserve">由于本研究最优潮流为</w:t>
      </w:r>
      <w:r>
        <w:rPr>
          <w:bCs/>
          <w:b/>
        </w:rPr>
        <w:t xml:space="preserve">直流潮流(DC-OPF)</w:t>
      </w:r>
      <w:r>
        <w:t xml:space="preserve">，只有有功功率、无无功功率与电压幅值，</w:t>
      </w:r>
      <w:r>
        <w:t xml:space="preserve"> </w:t>
      </w:r>
      <w:r>
        <w:t xml:space="preserve">而变压器发热取决于视在功率（DC 解无法提供）。因此节点变压器故障概率</w:t>
      </w:r>
      <w:r>
        <w:rPr>
          <w:bCs/>
          <w:b/>
        </w:rPr>
        <w:t xml:space="preserve">不使用有功负载比</w:t>
      </w:r>
      <w:r>
        <w:t xml:space="preserve">，</w:t>
      </w:r>
      <w:r>
        <w:t xml:space="preserve"> </w:t>
      </w:r>
      <w:r>
        <w:t xml:space="preserve">改由</w:t>
      </w:r>
      <w:r>
        <w:rPr>
          <w:bCs/>
          <w:b/>
        </w:rPr>
        <w:t xml:space="preserve">环境温度驱动</w:t>
      </w:r>
      <w:r>
        <w:t xml:space="preserve">（铭牌额定热点温升 + Arrhenius 老化），由</w:t>
      </w:r>
      <w:r>
        <w:t xml:space="preserve"> </w:t>
      </w:r>
      <w:r>
        <w:rPr>
          <w:rStyle w:val="VerbatimChar"/>
        </w:rPr>
        <w:t xml:space="preserve">matlab/fault_probability.m</w:t>
      </w:r>
      <w:r>
        <w:t xml:space="preserve"> </w:t>
      </w:r>
      <w:r>
        <w:t xml:space="preserve">计算，详见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 </w:t>
      </w:r>
      <w:r>
        <w:t xml:space="preserve">A 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数据来源：MATPOWER case39 (New England 39-bus system)。修改版用于极热无风源-荷失衡最优调度研究。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2026-07-09T09:58:26Z</dcterms:created>
  <dcterms:modified xsi:type="dcterms:W3CDTF">2026-07-09T09:58:26Z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