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BF8BB">
      <w:pPr>
        <w:jc w:val="center"/>
      </w:pPr>
      <w:r>
        <w:rPr>
          <w:rFonts w:hint="eastAsia"/>
        </w:rPr>
        <w:t>引言（修改版）</w:t>
      </w:r>
    </w:p>
    <w:p w14:paraId="25CCFEDF">
      <w:pPr>
        <w:ind w:firstLine="430"/>
      </w:pPr>
      <w:r>
        <w:rPr>
          <w:rFonts w:hint="eastAsia"/>
        </w:rPr>
        <w:t>近年来全球灾害性极端天气频发，对电网的安全稳定运行造成了挑战。例如</w:t>
      </w:r>
      <w:r>
        <w:t>2022年夏季</w:t>
      </w:r>
      <w:r>
        <w:rPr>
          <w:rFonts w:hint="eastAsia"/>
        </w:rPr>
        <w:t>四川省极端高温，造成该省</w:t>
      </w:r>
      <w:r>
        <w:t>日缺电力1700万kW、日缺电量3.7亿kW·h</w:t>
      </w:r>
      <w:r>
        <w:rPr>
          <w:rFonts w:hint="eastAsia"/>
        </w:rPr>
        <w:t>[1]；2021年美国德州冬季风暴大停电，导致该州超过330万人无法正常用电，电价飙升，电力运营商破产[2]。在此背景下，韧性电网的概念应运而生[3]。目前韧性电网已出现在国家政策和国际标准中：芬兰《电力法》明确规定，由风暴或降雪引起的电力中断，城区恢复时间不得超过6小时，任何其他地区不得超过36小时[4]；英国Ofgem的韧性框架中，Ofgem使用“load shedding costs according to load priorities”，确保在极端天气事件下重要负荷的停电风险最低[4]。</w:t>
      </w:r>
    </w:p>
    <w:p w14:paraId="2B58F3B7">
      <w:pPr>
        <w:ind w:firstLine="430"/>
      </w:pPr>
      <w:r>
        <w:rPr>
          <w:rFonts w:hint="eastAsia"/>
        </w:rPr>
        <w:t>目前国内外学者针对电力系统韧性提升已展开了许多研究，例如：文献[5]</w:t>
      </w:r>
      <w:r>
        <w:rPr>
          <w:rFonts w:ascii="Source Sans Pro" w:hAnsi="Source Sans Pro"/>
          <w:color w:val="000000"/>
          <w:shd w:val="clear" w:color="auto" w:fill="FFFFFF"/>
        </w:rPr>
        <w:t xml:space="preserve"> </w:t>
      </w:r>
      <w:r>
        <w:t>proposes a multi-level operation method designed</w:t>
      </w:r>
      <w:r>
        <w:rPr>
          <w:rFonts w:hint="eastAsia"/>
        </w:rPr>
        <w:t xml:space="preserve"> </w:t>
      </w:r>
      <w:r>
        <w:t>to</w:t>
      </w:r>
      <w:r>
        <w:rPr>
          <w:rFonts w:hint="eastAsia"/>
        </w:rPr>
        <w:t xml:space="preserve"> </w:t>
      </w:r>
      <w:r>
        <w:t>enhance the resilience of power systems under extreme weather conditions by utilizing preventive control and virtual oscillator (VO) technology</w:t>
      </w:r>
      <w:r>
        <w:rPr>
          <w:rFonts w:hint="eastAsia"/>
        </w:rPr>
        <w:t xml:space="preserve">; 文献[6]introduced a </w:t>
      </w:r>
      <w:r>
        <w:t>probabilistic multi-temporal and multi-regional resilience</w:t>
      </w:r>
      <w:r>
        <w:rPr>
          <w:rFonts w:hint="eastAsia"/>
        </w:rPr>
        <w:t xml:space="preserve"> </w:t>
      </w:r>
      <w:r>
        <w:t>assessment methodology</w:t>
      </w:r>
      <w:r>
        <w:rPr>
          <w:rFonts w:hint="eastAsia"/>
        </w:rPr>
        <w:t xml:space="preserve"> </w:t>
      </w:r>
      <w:r>
        <w:t>based on optimal power flow and</w:t>
      </w:r>
      <w:r>
        <w:rPr>
          <w:rFonts w:hint="eastAsia"/>
        </w:rPr>
        <w:t xml:space="preserve"> </w:t>
      </w:r>
      <w:r>
        <w:t>sequential Monte Carlo simulation</w:t>
      </w:r>
      <w:r>
        <w:rPr>
          <w:rFonts w:hint="eastAsia"/>
        </w:rPr>
        <w:t xml:space="preserve">; 文献[2]proposed an </w:t>
      </w:r>
      <w:r>
        <w:t>actual power grid topology</w:t>
      </w:r>
      <w:r>
        <w:rPr>
          <w:rFonts w:hint="eastAsia"/>
        </w:rPr>
        <w:t xml:space="preserve"> model</w:t>
      </w:r>
      <w:r>
        <w:t xml:space="preserve"> on the</w:t>
      </w:r>
      <w:r>
        <w:rPr>
          <w:rFonts w:hint="eastAsia"/>
        </w:rPr>
        <w:t xml:space="preserve"> </w:t>
      </w:r>
      <w:r>
        <w:t>basis of the complex</w:t>
      </w:r>
      <w:r>
        <w:rPr>
          <w:rFonts w:hint="eastAsia"/>
        </w:rPr>
        <w:t xml:space="preserve"> </w:t>
      </w:r>
      <w:r>
        <w:t>network theory, which is transformed into a directed-weighted topology model</w:t>
      </w:r>
      <w:r>
        <w:rPr>
          <w:rFonts w:hint="eastAsia"/>
        </w:rPr>
        <w:t xml:space="preserve"> </w:t>
      </w:r>
      <w:r>
        <w:t>after introducing the node voltage together with line reactance</w:t>
      </w:r>
      <w:r>
        <w:rPr>
          <w:rFonts w:hint="eastAsia"/>
        </w:rPr>
        <w:t xml:space="preserve">; A </w:t>
      </w:r>
      <w:r>
        <w:t>unified resilience evaluation and operational enhancement approach</w:t>
      </w:r>
      <w:r>
        <w:rPr>
          <w:rFonts w:hint="eastAsia"/>
        </w:rPr>
        <w:t xml:space="preserve"> is put forward in 文献[7], </w:t>
      </w:r>
      <w:r>
        <w:t>which includes a procedure for assessing the impact of severe weather on power systems and a novel risk-based defensive islanding algorithm</w:t>
      </w:r>
      <w:r>
        <w:rPr>
          <w:rFonts w:hint="eastAsia"/>
        </w:rPr>
        <w:t xml:space="preserve">; 文献[8] </w:t>
      </w:r>
      <w:r>
        <w:t>introduced</w:t>
      </w:r>
      <w:r>
        <w:rPr>
          <w:rFonts w:hint="eastAsia"/>
        </w:rPr>
        <w:t xml:space="preserve"> and </w:t>
      </w:r>
      <w:r>
        <w:t>quantified the resilience “trapezoid”</w:t>
      </w:r>
      <w:r>
        <w:rPr>
          <w:rFonts w:hint="eastAsia"/>
        </w:rPr>
        <w:t xml:space="preserve"> </w:t>
      </w:r>
      <w:r>
        <w:t>using time-dependent</w:t>
      </w:r>
      <w:r>
        <w:rPr>
          <w:rFonts w:hint="eastAsia"/>
        </w:rPr>
        <w:t xml:space="preserve"> </w:t>
      </w:r>
      <w:r>
        <w:t>resilience metrics that are specifically introduced to help capture</w:t>
      </w:r>
      <w:r>
        <w:rPr>
          <w:rFonts w:hint="eastAsia"/>
        </w:rPr>
        <w:t xml:space="preserve"> </w:t>
      </w:r>
      <w:r>
        <w:t>the critical system degradation and recovery features associated</w:t>
      </w:r>
      <w:r>
        <w:rPr>
          <w:rFonts w:hint="eastAsia"/>
        </w:rPr>
        <w:t xml:space="preserve"> </w:t>
      </w:r>
      <w:r>
        <w:t>to the trapezoid for different temporal phases of an event.</w:t>
      </w:r>
    </w:p>
    <w:p w14:paraId="285FBB68">
      <w:pPr>
        <w:ind w:firstLine="430"/>
      </w:pPr>
      <w:r>
        <w:rPr>
          <w:rFonts w:hint="eastAsia"/>
        </w:rPr>
        <w:t>然而，现有研究较少考虑到极热天气下的韧性研究，而极热天气的频发性不得不引起研究的重视：1980–2010年中国东部极端高温事件频率增长400%（较1951–1980），增速为全球平均的2倍[9]；2010年东欧热浪覆盖50%欧洲大陆，打破500年记录，致死超55,000人[10]；频发的极热天气会对电器元件造成极大危害：极端高温下局部热点温度超140℃将引发变压器绝缘击穿[11]；光伏组件温度每升1℃效率降0.5%，极端高温（＞45℃）导致逆变器停机风险提升300%[12]，等等。现阶段针对极热环境的韧性提升方法主要有：文献[13]</w:t>
      </w:r>
      <w:r>
        <w:t>particular</w:t>
      </w:r>
      <w:r>
        <w:rPr>
          <w:rFonts w:hint="eastAsia"/>
        </w:rPr>
        <w:t>ly</w:t>
      </w:r>
      <w:r>
        <w:t xml:space="preserve"> </w:t>
      </w:r>
      <w:r>
        <w:rPr>
          <w:rFonts w:hint="eastAsia"/>
        </w:rPr>
        <w:t xml:space="preserve">developed </w:t>
      </w:r>
      <w:r>
        <w:t>a set of piece-wise linear models</w:t>
      </w:r>
      <w:r>
        <w:rPr>
          <w:rFonts w:hint="eastAsia"/>
        </w:rPr>
        <w:t xml:space="preserve"> </w:t>
      </w:r>
      <w:r>
        <w:t>to capture the impact of extreme heat waves and drought events on the performance of the power generation units and on the system load</w:t>
      </w:r>
      <w:r>
        <w:rPr>
          <w:rFonts w:hint="eastAsia"/>
        </w:rPr>
        <w:t>; 文献[13]基于差异化规划，分别</w:t>
      </w:r>
      <w:r>
        <w:t>针对脆弱线路和储能</w:t>
      </w:r>
      <w:r>
        <w:rPr>
          <w:rFonts w:hint="eastAsia"/>
        </w:rPr>
        <w:t>建立</w:t>
      </w:r>
      <w:r>
        <w:t>两阶段鲁棒优化模型</w:t>
      </w:r>
      <w:r>
        <w:rPr>
          <w:rFonts w:hint="eastAsia"/>
          <w:vertAlign w:val="superscript"/>
        </w:rPr>
        <w:t>[13]</w:t>
      </w:r>
      <w:r>
        <w:rPr>
          <w:rFonts w:hint="eastAsia"/>
        </w:rPr>
        <w:t>；文献[14]</w:t>
      </w:r>
      <w:r>
        <w:t>统筹考虑</w:t>
      </w:r>
      <w:r>
        <w:rPr>
          <w:rFonts w:hint="eastAsia"/>
        </w:rPr>
        <w:t>了</w:t>
      </w:r>
      <w:r>
        <w:t>极端高温灾害下</w:t>
      </w:r>
      <w:r>
        <w:rPr>
          <w:rFonts w:hint="eastAsia"/>
        </w:rPr>
        <w:t>，</w:t>
      </w:r>
      <w:r>
        <w:t>电缆型配电网的故障特点</w:t>
      </w:r>
      <w:r>
        <w:rPr>
          <w:rFonts w:hint="eastAsia"/>
        </w:rPr>
        <w:t>、</w:t>
      </w:r>
      <w:r>
        <w:t>电缆线路故障处理措施与配电网韧性提升措施在应对群发性故障时的协同作用</w:t>
      </w:r>
      <w:r>
        <w:rPr>
          <w:rFonts w:hint="eastAsia"/>
        </w:rPr>
        <w:t>；文献[15]结合深度学习秃鹰算法对</w:t>
      </w:r>
      <w:r>
        <w:t>源荷出力进行日前预测</w:t>
      </w:r>
      <w:r>
        <w:rPr>
          <w:rFonts w:hint="eastAsia"/>
        </w:rPr>
        <w:t>，</w:t>
      </w:r>
      <w:r>
        <w:t>并构建</w:t>
      </w:r>
      <w:r>
        <w:rPr>
          <w:rFonts w:hint="eastAsia"/>
        </w:rPr>
        <w:t>了</w:t>
      </w:r>
      <w:r>
        <w:t>基于Wasserstein距离的源荷预测误差不确定集</w:t>
      </w:r>
      <w:r>
        <w:rPr>
          <w:rFonts w:hint="eastAsia"/>
        </w:rPr>
        <w:t>。</w:t>
      </w:r>
    </w:p>
    <w:p w14:paraId="78700F03">
      <w:pPr>
        <w:ind w:firstLine="430"/>
      </w:pPr>
      <w:r>
        <w:rPr>
          <w:rFonts w:hint="eastAsia"/>
        </w:rPr>
        <w:t>总的来看，现有极热韧性提升研究的不足之处有：主要韧性提升措施体现在配电网应急电源调度</w:t>
      </w:r>
      <w:r>
        <w:rPr>
          <w:rFonts w:hint="eastAsia"/>
          <w:vertAlign w:val="superscript"/>
        </w:rPr>
        <w:t>[14][16]</w:t>
      </w:r>
      <w:r>
        <w:rPr>
          <w:rFonts w:hint="eastAsia"/>
        </w:rPr>
        <w:t>，</w:t>
      </w:r>
      <w:r>
        <w:rPr>
          <w:rFonts w:hint="eastAsia"/>
          <w:lang w:val="en-US" w:eastAsia="zh-CN"/>
        </w:rPr>
        <w:t>只解决了部分地区短时间的供电问题，无法适配极热条件下大面积停电与大规模缺电的情况</w:t>
      </w:r>
      <w:r>
        <w:rPr>
          <w:rFonts w:hint="eastAsia"/>
        </w:rPr>
        <w:t>；文献[14]等主要考虑线路、电缆接头等元件热故障，较少考虑源荷失衡；并且没有进一步考虑到源荷失衡导致电网潮流分布不确定性增强；也没有考虑到热故障与源荷失衡之间的耦合机理作用：a) 源荷失衡导致某些线路、变压器过载、重载运行，使得线路、变压器故障概率变高；b) 线路、变压器等元件故障概率增高，为避免线路过载而改变电力调度，进一步导致源荷失衡。</w:t>
      </w:r>
    </w:p>
    <w:p w14:paraId="4140DEED">
      <w:pPr>
        <w:ind w:firstLine="430"/>
      </w:pPr>
      <w:r>
        <w:rPr>
          <w:rFonts w:hint="eastAsia"/>
        </w:rPr>
        <w:t>为解决上述问题，本文提出了考虑热故障以及源荷失衡的极热电网失电风险评估及备用容量留取方法。</w:t>
      </w:r>
    </w:p>
    <w:p w14:paraId="5E0B030C">
      <w:r>
        <w:rPr>
          <w:rFonts w:hint="eastAsia"/>
        </w:rPr>
        <w:t>[</w:t>
      </w:r>
      <w:r>
        <w:rPr>
          <w:rFonts w:hint="eastAsia"/>
          <w:color w:val="EE0000"/>
        </w:rPr>
        <w:t>1</w:t>
      </w:r>
      <w:r>
        <w:rPr>
          <w:rFonts w:hint="eastAsia"/>
        </w:rPr>
        <w:t>]周业荣,毛玉鑫,胡杨,等.2022 年夏季极端天气对四川电力影响与启示[J].水力发电学报,2023,42(06):23-29.</w:t>
      </w:r>
    </w:p>
    <w:p w14:paraId="5E38D670">
      <w:r>
        <w:rPr>
          <w:rFonts w:hint="eastAsia"/>
        </w:rPr>
        <w:t>[</w:t>
      </w:r>
      <w:r>
        <w:rPr>
          <w:rFonts w:hint="eastAsia"/>
          <w:color w:val="EE0000"/>
        </w:rPr>
        <w:t>2</w:t>
      </w:r>
      <w:r>
        <w:rPr>
          <w:rFonts w:hint="eastAsia"/>
        </w:rPr>
        <w:t>]</w:t>
      </w:r>
      <w:r>
        <w:t>Xie B, Li C, Wu Z, Chen W. Topological Modeling Research on the Functional Vulnerability of Power Grid under Extreme Weather. </w:t>
      </w:r>
      <w:r>
        <w:rPr>
          <w:i/>
          <w:iCs/>
        </w:rPr>
        <w:t>Energies</w:t>
      </w:r>
      <w:r>
        <w:t>. 2021; 14(16):5183.</w:t>
      </w:r>
    </w:p>
    <w:p w14:paraId="45878072">
      <w:r>
        <w:rPr>
          <w:rFonts w:hint="eastAsia"/>
        </w:rPr>
        <w:t>[</w:t>
      </w:r>
      <w:r>
        <w:rPr>
          <w:rFonts w:hint="eastAsia"/>
          <w:color w:val="EE0000"/>
        </w:rPr>
        <w:t>3</w:t>
      </w:r>
      <w:r>
        <w:rPr>
          <w:rFonts w:hint="eastAsia"/>
        </w:rPr>
        <w:t xml:space="preserve">] </w:t>
      </w:r>
      <w:r>
        <w:t>Chivunga JN, Lin Z, Blanchard R. Power Systems’ Resilience: A Comprehensive Literature Review. </w:t>
      </w:r>
      <w:r>
        <w:rPr>
          <w:i/>
          <w:iCs/>
        </w:rPr>
        <w:t>Energies</w:t>
      </w:r>
      <w:r>
        <w:t>. 2023; 16(21):7256.</w:t>
      </w:r>
    </w:p>
    <w:p w14:paraId="7A57759E">
      <w:r>
        <w:rPr>
          <w:rFonts w:hint="eastAsia"/>
        </w:rPr>
        <w:t>[</w:t>
      </w:r>
      <w:r>
        <w:rPr>
          <w:rFonts w:hint="eastAsia"/>
          <w:color w:val="EE0000"/>
        </w:rPr>
        <w:t>4</w:t>
      </w:r>
      <w:r>
        <w:rPr>
          <w:rFonts w:hint="eastAsia"/>
        </w:rPr>
        <w:t xml:space="preserve">] </w:t>
      </w:r>
      <w:r>
        <w:t>Cainey Jill M.</w:t>
      </w:r>
      <w:r>
        <w:rPr>
          <w:rFonts w:hint="eastAsia"/>
        </w:rPr>
        <w:t xml:space="preserve"> </w:t>
      </w:r>
      <w:r>
        <w:t>Resilience and reliability for electricity networks. </w:t>
      </w:r>
      <w:r>
        <w:rPr>
          <w:i/>
          <w:iCs/>
        </w:rPr>
        <w:t>Proceedings of the Royal Society of Victoria</w:t>
      </w:r>
      <w:r>
        <w:rPr>
          <w:rFonts w:hint="eastAsia"/>
          <w:i/>
          <w:iCs/>
        </w:rPr>
        <w:t xml:space="preserve">. 2019; </w:t>
      </w:r>
      <w:r>
        <w:t> </w:t>
      </w:r>
      <w:r>
        <w:rPr>
          <w:b/>
          <w:bCs/>
        </w:rPr>
        <w:t>131</w:t>
      </w:r>
      <w:r>
        <w:t>, 44-52.</w:t>
      </w:r>
    </w:p>
    <w:p w14:paraId="0848374C">
      <w:r>
        <w:rPr>
          <w:rFonts w:hint="eastAsia"/>
        </w:rPr>
        <w:t>[</w:t>
      </w:r>
      <w:r>
        <w:rPr>
          <w:rFonts w:hint="eastAsia"/>
          <w:color w:val="EE0000"/>
        </w:rPr>
        <w:t>5</w:t>
      </w:r>
      <w:r>
        <w:rPr>
          <w:rFonts w:hint="eastAsia"/>
        </w:rPr>
        <w:t xml:space="preserve">] </w:t>
      </w:r>
      <w:r>
        <w:t>Li C, Zhang D, Han J, Tian C, Xie L, Wang C, Fang Z, Li L, Zhang G. A Multi-Level Operation Method for Improving the Resilience of Power Systems under Extreme Weather through Preventive Control and a Virtual Oscillator. </w:t>
      </w:r>
      <w:r>
        <w:rPr>
          <w:i/>
          <w:iCs/>
        </w:rPr>
        <w:t>Sensors</w:t>
      </w:r>
      <w:r>
        <w:t>. 2024; 24(6):1812.</w:t>
      </w:r>
    </w:p>
    <w:p w14:paraId="1C8C0A1D">
      <w:r>
        <w:rPr>
          <w:rFonts w:hint="eastAsia"/>
        </w:rPr>
        <w:t>[</w:t>
      </w:r>
      <w:r>
        <w:rPr>
          <w:rFonts w:hint="eastAsia"/>
          <w:color w:val="EE0000"/>
        </w:rPr>
        <w:t>6</w:t>
      </w:r>
      <w:r>
        <w:rPr>
          <w:rFonts w:hint="eastAsia"/>
        </w:rPr>
        <w:t xml:space="preserve">] </w:t>
      </w:r>
      <w:r>
        <w:t>M. Panteli, C. Pickering, S. Wilkinson, R. Dawson and P. Mancarella, "Power System Resilience to Extreme Weather: Fragility Modeling, Probabilistic Impact Assessment, and Adaptation Measures," in </w:t>
      </w:r>
      <w:r>
        <w:rPr>
          <w:i/>
          <w:iCs/>
        </w:rPr>
        <w:t>IEEE Transactions on Power Systems</w:t>
      </w:r>
      <w:r>
        <w:t>, vol. 32, no. 5, pp. 3747-3757, Sept. 2017</w:t>
      </w:r>
      <w:r>
        <w:rPr>
          <w:rFonts w:hint="eastAsia"/>
        </w:rPr>
        <w:t>.</w:t>
      </w:r>
    </w:p>
    <w:p w14:paraId="436CB847">
      <w:r>
        <w:rPr>
          <w:rFonts w:hint="eastAsia"/>
        </w:rPr>
        <w:t>[</w:t>
      </w:r>
      <w:r>
        <w:rPr>
          <w:rFonts w:hint="eastAsia"/>
          <w:color w:val="EE0000"/>
        </w:rPr>
        <w:t>7</w:t>
      </w:r>
      <w:r>
        <w:rPr>
          <w:rFonts w:hint="eastAsia"/>
        </w:rPr>
        <w:t xml:space="preserve">] </w:t>
      </w:r>
      <w:r>
        <w:t>M. Panteli, D. N. Trakas, P. Mancarella and N. D. Hatziargyriou, "Boosting the Power Grid Resilience to Extreme Weather Events Using Defensive Islanding," in </w:t>
      </w:r>
      <w:r>
        <w:rPr>
          <w:i/>
          <w:iCs/>
        </w:rPr>
        <w:t>IEEE Transactions on Smart Grid</w:t>
      </w:r>
      <w:r>
        <w:t>, vol. 7, no. 6, pp. 2913-2922, Nov. 2016</w:t>
      </w:r>
      <w:r>
        <w:rPr>
          <w:rFonts w:hint="eastAsia"/>
        </w:rPr>
        <w:t>.</w:t>
      </w:r>
    </w:p>
    <w:p w14:paraId="5C4856DA">
      <w:r>
        <w:rPr>
          <w:rFonts w:hint="eastAsia"/>
        </w:rPr>
        <w:t>[</w:t>
      </w:r>
      <w:r>
        <w:rPr>
          <w:rFonts w:hint="eastAsia"/>
          <w:color w:val="EE0000"/>
        </w:rPr>
        <w:t>8</w:t>
      </w:r>
      <w:r>
        <w:rPr>
          <w:rFonts w:hint="eastAsia"/>
        </w:rPr>
        <w:t>]</w:t>
      </w:r>
      <w:r>
        <w:rPr>
          <w:rFonts w:ascii="Arial" w:hAnsi="Arial" w:cs="Arial"/>
          <w:color w:val="333333"/>
          <w:sz w:val="20"/>
          <w:szCs w:val="20"/>
          <w:shd w:val="clear" w:color="auto" w:fill="FFFFFF"/>
        </w:rPr>
        <w:t xml:space="preserve"> </w:t>
      </w:r>
      <w:r>
        <w:t>M. Panteli, P. Mancarella, D. N. Trakas, E. Kyriakides and N. D. Hatziargyriou, "Metrics and Quantification of Operational and Infrastructure Resilience in Power Systems," in </w:t>
      </w:r>
      <w:r>
        <w:rPr>
          <w:i/>
          <w:iCs/>
        </w:rPr>
        <w:t>IEEE Transactions on Power Systems</w:t>
      </w:r>
      <w:r>
        <w:t>, vol. 32, no. 6, pp. 4732-4742, Nov. 2017</w:t>
      </w:r>
      <w:r>
        <w:rPr>
          <w:rFonts w:hint="eastAsia"/>
        </w:rPr>
        <w:t>.</w:t>
      </w:r>
    </w:p>
    <w:p w14:paraId="79F2E45D">
      <w:r>
        <w:rPr>
          <w:rFonts w:hint="eastAsia"/>
        </w:rPr>
        <w:t xml:space="preserve">[9] </w:t>
      </w:r>
      <w:r>
        <w:t>Sun, Y., Zhang, X., Zwiers, F. </w:t>
      </w:r>
      <w:r>
        <w:rPr>
          <w:i/>
          <w:iCs/>
        </w:rPr>
        <w:t>et al.</w:t>
      </w:r>
      <w:r>
        <w:t> Rapid increase in the risk of extreme summer heat in Eastern China. </w:t>
      </w:r>
      <w:r>
        <w:rPr>
          <w:i/>
          <w:iCs/>
        </w:rPr>
        <w:t>Nature Clim Change</w:t>
      </w:r>
      <w:r>
        <w:t> </w:t>
      </w:r>
      <w:r>
        <w:rPr>
          <w:b/>
          <w:bCs/>
        </w:rPr>
        <w:t>4</w:t>
      </w:r>
      <w:r>
        <w:t>, 1082–1085 (2014).</w:t>
      </w:r>
    </w:p>
    <w:p w14:paraId="13932A40">
      <w:r>
        <w:rPr>
          <w:rFonts w:hint="eastAsia"/>
        </w:rPr>
        <w:t>[10]</w:t>
      </w:r>
      <w:r>
        <w:rPr>
          <w:rFonts w:ascii="Roboto" w:hAnsi="Roboto" w:eastAsia="宋体" w:cs="宋体"/>
          <w:color w:val="595959"/>
          <w:kern w:val="0"/>
          <w:szCs w:val="21"/>
        </w:rPr>
        <w:t xml:space="preserve"> </w:t>
      </w:r>
      <w:r>
        <w:t>David Barriopedro </w:t>
      </w:r>
      <w:r>
        <w:rPr>
          <w:i/>
          <w:iCs/>
        </w:rPr>
        <w:t>et al.</w:t>
      </w:r>
      <w:r>
        <w:rPr>
          <w:rFonts w:hint="eastAsia"/>
        </w:rPr>
        <w:t xml:space="preserve"> </w:t>
      </w:r>
      <w:r>
        <w:t>The Hot Summer of 2010: Redrawing the Temperature Record Map of Europe.</w:t>
      </w:r>
      <w:r>
        <w:rPr>
          <w:i/>
          <w:iCs/>
        </w:rPr>
        <w:t>Science</w:t>
      </w:r>
      <w:r>
        <w:rPr>
          <w:b/>
          <w:bCs/>
        </w:rPr>
        <w:t>332</w:t>
      </w:r>
      <w:r>
        <w:t>,220-224(2011).</w:t>
      </w:r>
    </w:p>
    <w:p w14:paraId="48B98A5C">
      <w:r>
        <w:rPr>
          <w:rFonts w:hint="eastAsia"/>
        </w:rPr>
        <w:t>[11] Xiang G ,Adam C S ,R. E M .Potential impacts of climate warming and increased summer heat stress on the electric grid: a case study for a large power transformer (LPT) in the Northeast United States[J].Climatic Change,2018,147(1-2):107-118.</w:t>
      </w:r>
    </w:p>
    <w:p w14:paraId="2AD5D333">
      <w:r>
        <w:rPr>
          <w:rFonts w:hint="eastAsia"/>
        </w:rPr>
        <w:t>[12] Perera D T A ,Nik M V ,Chen D , et al.Quantifying the impacts of climate change and extreme climate events on energy systems[J].Nature Energy,2020,5(5):150-159.</w:t>
      </w:r>
    </w:p>
    <w:p w14:paraId="6910A69F">
      <w:pPr>
        <w:rPr>
          <w:rFonts w:hint="eastAsia"/>
        </w:rPr>
      </w:pPr>
      <w:r>
        <w:rPr>
          <w:rFonts w:hint="eastAsia"/>
        </w:rPr>
        <w:t xml:space="preserve">[13] </w:t>
      </w:r>
      <w:r>
        <w:t>A.F. Abdin, Y.-P. Fang, E. Zio</w:t>
      </w:r>
      <w:r>
        <w:rPr>
          <w:rFonts w:hint="eastAsia"/>
        </w:rPr>
        <w:t xml:space="preserve">. </w:t>
      </w:r>
      <w:r>
        <w:t>A modeling and optimization framework for power systems design with operational flexibility and resilience against extreme heat waves and drought events</w:t>
      </w:r>
      <w:r>
        <w:rPr>
          <w:rFonts w:hint="eastAsia"/>
        </w:rPr>
        <w:t xml:space="preserve">. </w:t>
      </w:r>
      <w:r>
        <w:t>Renewable and Sustainable Energy Reviews,Vol</w:t>
      </w:r>
      <w:r>
        <w:rPr>
          <w:rFonts w:hint="eastAsia"/>
        </w:rPr>
        <w:t>.</w:t>
      </w:r>
      <w:r>
        <w:t>112,2019</w:t>
      </w:r>
      <w:r>
        <w:rPr>
          <w:rFonts w:hint="eastAsia"/>
        </w:rPr>
        <w:t xml:space="preserve">.pp. </w:t>
      </w:r>
      <w:r>
        <w:t>706-719</w:t>
      </w:r>
      <w:r>
        <w:rPr>
          <w:rFonts w:hint="eastAsia"/>
        </w:rPr>
        <w:t>.</w:t>
      </w:r>
    </w:p>
    <w:p w14:paraId="07BC9F0D">
      <w:r>
        <w:rPr>
          <w:rFonts w:hint="eastAsia"/>
        </w:rPr>
        <w:t>[13]罗佳怡,邢海军,全文斌,等.极端高温下新型电力系统韧性评估及差异化规划[J].电力系统自动化,2025,49(03):135-144.</w:t>
      </w:r>
    </w:p>
    <w:p w14:paraId="4DDA0398">
      <w:r>
        <w:rPr>
          <w:rFonts w:hint="eastAsia"/>
        </w:rPr>
        <w:t>[14]田书欣,肖文渊,符杨,等.极端高温灾害下电缆型配电网韧性提升策略研究[J].中国电机工程学报,2025,45(09):3408-3420.</w:t>
      </w:r>
    </w:p>
    <w:p w14:paraId="7386F0FF">
      <w:pPr>
        <w:rPr>
          <w:highlight w:val="yellow"/>
          <w:u w:val="none"/>
        </w:rPr>
      </w:pPr>
      <w:r>
        <w:rPr>
          <w:rFonts w:hint="eastAsia"/>
          <w:highlight w:val="yellow"/>
          <w:u w:val="none"/>
        </w:rPr>
        <w:t>[15]乔海洋,冯亮,边敦新,等.基于分布鲁棒优化的极端高温日电源旋转备用配置[J/OL].电网技术,1-20[2025-08-14].</w:t>
      </w:r>
    </w:p>
    <w:p w14:paraId="6CC30723">
      <w:pPr>
        <w:rPr>
          <w:highlight w:val="yellow"/>
          <w:u w:val="none"/>
        </w:rPr>
      </w:pPr>
      <w:r>
        <w:rPr>
          <w:rFonts w:hint="eastAsia"/>
          <w:highlight w:val="yellow"/>
          <w:u w:val="none"/>
        </w:rPr>
        <w:t>[16]黄婧杰,聂焕,张荐,等.主动配电网灾后韧</w:t>
      </w:r>
      <w:bookmarkStart w:id="0" w:name="_GoBack"/>
      <w:bookmarkEnd w:id="0"/>
      <w:r>
        <w:rPr>
          <w:rFonts w:hint="eastAsia"/>
          <w:highlight w:val="yellow"/>
          <w:u w:val="none"/>
        </w:rPr>
        <w:t>性提升的孤岛划分与故障抢修协同方法[J/OL].电力自动化设备,1-11[2025-08-16].</w:t>
      </w:r>
    </w:p>
    <w:p w14:paraId="25A6E011">
      <w:pPr>
        <w:rPr>
          <w:rFonts w:hint="eastAsia"/>
        </w:rPr>
      </w:pPr>
    </w:p>
    <w:sectPr>
      <w:pgSz w:w="11906" w:h="16838"/>
      <w:pgMar w:top="1440" w:right="1800" w:bottom="1440" w:left="180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urce Sans Pro">
    <w:altName w:val="Segoe Print"/>
    <w:panose1 w:val="00000000000000000000"/>
    <w:charset w:val="00"/>
    <w:family w:val="swiss"/>
    <w:pitch w:val="default"/>
    <w:sig w:usb0="00000000" w:usb1="00000000" w:usb2="00000000" w:usb3="00000000" w:csb0="0000019F" w:csb1="00000000"/>
  </w:font>
  <w:font w:name="Arial">
    <w:panose1 w:val="020B0604020202020204"/>
    <w:charset w:val="00"/>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ZjljMzdhYjM3NzViZjJhYWJkODA1NmNlMDdlYzUifQ=="/>
  </w:docVars>
  <w:rsids>
    <w:rsidRoot w:val="00596B4A"/>
    <w:rsid w:val="00031B68"/>
    <w:rsid w:val="00035CEA"/>
    <w:rsid w:val="000834C6"/>
    <w:rsid w:val="000E3B7F"/>
    <w:rsid w:val="000F580D"/>
    <w:rsid w:val="000F7198"/>
    <w:rsid w:val="00101609"/>
    <w:rsid w:val="001334EE"/>
    <w:rsid w:val="00145383"/>
    <w:rsid w:val="0014572C"/>
    <w:rsid w:val="0016491A"/>
    <w:rsid w:val="001719BD"/>
    <w:rsid w:val="0018447F"/>
    <w:rsid w:val="00186BC6"/>
    <w:rsid w:val="00186DE7"/>
    <w:rsid w:val="001B537C"/>
    <w:rsid w:val="001D7882"/>
    <w:rsid w:val="001F5828"/>
    <w:rsid w:val="00222BF4"/>
    <w:rsid w:val="0022352A"/>
    <w:rsid w:val="002535D3"/>
    <w:rsid w:val="00262084"/>
    <w:rsid w:val="00270EA5"/>
    <w:rsid w:val="002A4134"/>
    <w:rsid w:val="002A6FD7"/>
    <w:rsid w:val="002E413C"/>
    <w:rsid w:val="00341C77"/>
    <w:rsid w:val="00366F04"/>
    <w:rsid w:val="00373C34"/>
    <w:rsid w:val="003839CA"/>
    <w:rsid w:val="003B2323"/>
    <w:rsid w:val="003B28EC"/>
    <w:rsid w:val="003E53CF"/>
    <w:rsid w:val="003F731B"/>
    <w:rsid w:val="00405459"/>
    <w:rsid w:val="00434829"/>
    <w:rsid w:val="00464168"/>
    <w:rsid w:val="00485319"/>
    <w:rsid w:val="00485753"/>
    <w:rsid w:val="00496989"/>
    <w:rsid w:val="004A6E89"/>
    <w:rsid w:val="004B728B"/>
    <w:rsid w:val="004D27CD"/>
    <w:rsid w:val="004E30E9"/>
    <w:rsid w:val="004F69C4"/>
    <w:rsid w:val="004F6F96"/>
    <w:rsid w:val="00514A74"/>
    <w:rsid w:val="00525BBA"/>
    <w:rsid w:val="00555444"/>
    <w:rsid w:val="005659C7"/>
    <w:rsid w:val="00596B4A"/>
    <w:rsid w:val="005B314C"/>
    <w:rsid w:val="005B7FD4"/>
    <w:rsid w:val="005C77F2"/>
    <w:rsid w:val="00602EF7"/>
    <w:rsid w:val="00617A60"/>
    <w:rsid w:val="00633562"/>
    <w:rsid w:val="00653238"/>
    <w:rsid w:val="00670E1A"/>
    <w:rsid w:val="00671CDF"/>
    <w:rsid w:val="00694DE2"/>
    <w:rsid w:val="006B1795"/>
    <w:rsid w:val="006C4FD7"/>
    <w:rsid w:val="006D262C"/>
    <w:rsid w:val="00725263"/>
    <w:rsid w:val="00734971"/>
    <w:rsid w:val="007406F9"/>
    <w:rsid w:val="00753C57"/>
    <w:rsid w:val="00771B72"/>
    <w:rsid w:val="00787820"/>
    <w:rsid w:val="007A2DAF"/>
    <w:rsid w:val="007C0578"/>
    <w:rsid w:val="00814896"/>
    <w:rsid w:val="00834E88"/>
    <w:rsid w:val="00843F09"/>
    <w:rsid w:val="00853576"/>
    <w:rsid w:val="00856553"/>
    <w:rsid w:val="00881C2A"/>
    <w:rsid w:val="0088788B"/>
    <w:rsid w:val="00892BAA"/>
    <w:rsid w:val="008B0F05"/>
    <w:rsid w:val="008D1866"/>
    <w:rsid w:val="008E0F9D"/>
    <w:rsid w:val="008E5C86"/>
    <w:rsid w:val="00900476"/>
    <w:rsid w:val="009266C1"/>
    <w:rsid w:val="0095448F"/>
    <w:rsid w:val="0096059C"/>
    <w:rsid w:val="00992F3C"/>
    <w:rsid w:val="009C441C"/>
    <w:rsid w:val="009D5232"/>
    <w:rsid w:val="009E7AC6"/>
    <w:rsid w:val="009F339F"/>
    <w:rsid w:val="00A21EEC"/>
    <w:rsid w:val="00A5524F"/>
    <w:rsid w:val="00A60173"/>
    <w:rsid w:val="00A80FDC"/>
    <w:rsid w:val="00A8573F"/>
    <w:rsid w:val="00A97858"/>
    <w:rsid w:val="00AA0E29"/>
    <w:rsid w:val="00AA686A"/>
    <w:rsid w:val="00AB12C4"/>
    <w:rsid w:val="00AC2718"/>
    <w:rsid w:val="00AC50C6"/>
    <w:rsid w:val="00AF0009"/>
    <w:rsid w:val="00B260AF"/>
    <w:rsid w:val="00B27622"/>
    <w:rsid w:val="00B43C1A"/>
    <w:rsid w:val="00B5279B"/>
    <w:rsid w:val="00B625DF"/>
    <w:rsid w:val="00B8402B"/>
    <w:rsid w:val="00B8593E"/>
    <w:rsid w:val="00B85C4A"/>
    <w:rsid w:val="00BD3BAC"/>
    <w:rsid w:val="00C24010"/>
    <w:rsid w:val="00C25EC7"/>
    <w:rsid w:val="00C30322"/>
    <w:rsid w:val="00C408D2"/>
    <w:rsid w:val="00CB13E3"/>
    <w:rsid w:val="00CC013F"/>
    <w:rsid w:val="00CC3838"/>
    <w:rsid w:val="00CD5BA8"/>
    <w:rsid w:val="00D02768"/>
    <w:rsid w:val="00D11C54"/>
    <w:rsid w:val="00D46F00"/>
    <w:rsid w:val="00D81350"/>
    <w:rsid w:val="00D9379B"/>
    <w:rsid w:val="00DA7B29"/>
    <w:rsid w:val="00DE6CE9"/>
    <w:rsid w:val="00E11A59"/>
    <w:rsid w:val="00E607CC"/>
    <w:rsid w:val="00EA15B3"/>
    <w:rsid w:val="00EC02A4"/>
    <w:rsid w:val="00F1455B"/>
    <w:rsid w:val="00F469DC"/>
    <w:rsid w:val="00F5307A"/>
    <w:rsid w:val="00F74162"/>
    <w:rsid w:val="00FB3EA0"/>
    <w:rsid w:val="00FF2FC3"/>
    <w:rsid w:val="34E949FA"/>
    <w:rsid w:val="453B171D"/>
    <w:rsid w:val="70606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1"/>
    <w:uiPriority w:val="0"/>
    <w:pPr>
      <w:snapToGrid w:val="0"/>
      <w:jc w:val="left"/>
    </w:pPr>
  </w:style>
  <w:style w:type="paragraph" w:styleId="3">
    <w:name w:val="footer"/>
    <w:basedOn w:val="1"/>
    <w:link w:val="14"/>
    <w:uiPriority w:val="0"/>
    <w:pPr>
      <w:tabs>
        <w:tab w:val="center" w:pos="4153"/>
        <w:tab w:val="right" w:pos="8306"/>
      </w:tabs>
      <w:snapToGrid w:val="0"/>
      <w:jc w:val="left"/>
    </w:pPr>
    <w:rPr>
      <w:sz w:val="18"/>
      <w:szCs w:val="18"/>
    </w:rPr>
  </w:style>
  <w:style w:type="paragraph" w:styleId="4">
    <w:name w:val="header"/>
    <w:basedOn w:val="1"/>
    <w:link w:val="13"/>
    <w:uiPriority w:val="0"/>
    <w:pPr>
      <w:tabs>
        <w:tab w:val="center" w:pos="4153"/>
        <w:tab w:val="right" w:pos="8306"/>
      </w:tabs>
      <w:snapToGrid w:val="0"/>
      <w:jc w:val="center"/>
    </w:pPr>
    <w:rPr>
      <w:sz w:val="18"/>
      <w:szCs w:val="18"/>
    </w:rPr>
  </w:style>
  <w:style w:type="paragraph" w:styleId="5">
    <w:name w:val="footnote text"/>
    <w:basedOn w:val="1"/>
    <w:link w:val="10"/>
    <w:uiPriority w:val="0"/>
    <w:pPr>
      <w:snapToGrid w:val="0"/>
      <w:jc w:val="left"/>
    </w:pPr>
    <w:rPr>
      <w:sz w:val="18"/>
      <w:szCs w:val="18"/>
    </w:rPr>
  </w:style>
  <w:style w:type="character" w:styleId="8">
    <w:name w:val="endnote reference"/>
    <w:basedOn w:val="7"/>
    <w:uiPriority w:val="0"/>
    <w:rPr>
      <w:vertAlign w:val="superscript"/>
    </w:rPr>
  </w:style>
  <w:style w:type="character" w:styleId="9">
    <w:name w:val="footnote reference"/>
    <w:basedOn w:val="7"/>
    <w:qFormat/>
    <w:uiPriority w:val="0"/>
    <w:rPr>
      <w:vertAlign w:val="superscript"/>
    </w:rPr>
  </w:style>
  <w:style w:type="character" w:customStyle="1" w:styleId="10">
    <w:name w:val="脚注文本 字符"/>
    <w:basedOn w:val="7"/>
    <w:link w:val="5"/>
    <w:uiPriority w:val="0"/>
    <w:rPr>
      <w:kern w:val="2"/>
      <w:sz w:val="18"/>
      <w:szCs w:val="18"/>
    </w:rPr>
  </w:style>
  <w:style w:type="character" w:customStyle="1" w:styleId="11">
    <w:name w:val="尾注文本 字符"/>
    <w:basedOn w:val="7"/>
    <w:link w:val="2"/>
    <w:uiPriority w:val="0"/>
    <w:rPr>
      <w:kern w:val="2"/>
      <w:sz w:val="21"/>
      <w:szCs w:val="24"/>
    </w:rPr>
  </w:style>
  <w:style w:type="paragraph" w:styleId="12">
    <w:name w:val="List Paragraph"/>
    <w:basedOn w:val="1"/>
    <w:unhideWhenUsed/>
    <w:uiPriority w:val="99"/>
    <w:pPr>
      <w:ind w:firstLine="420" w:firstLineChars="200"/>
    </w:pPr>
  </w:style>
  <w:style w:type="character" w:customStyle="1" w:styleId="13">
    <w:name w:val="页眉 字符"/>
    <w:basedOn w:val="7"/>
    <w:link w:val="4"/>
    <w:uiPriority w:val="0"/>
    <w:rPr>
      <w:kern w:val="2"/>
      <w:sz w:val="18"/>
      <w:szCs w:val="18"/>
    </w:rPr>
  </w:style>
  <w:style w:type="character" w:customStyle="1" w:styleId="14">
    <w:name w:val="页脚 字符"/>
    <w:basedOn w:val="7"/>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B42B9-2114-4491-84D4-5AAB24B47F4D}">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1159</Words>
  <Characters>2375</Characters>
  <Lines>127</Lines>
  <Paragraphs>104</Paragraphs>
  <TotalTime>4117</TotalTime>
  <ScaleCrop>false</ScaleCrop>
  <LinksUpToDate>false</LinksUpToDate>
  <CharactersWithSpaces>2586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2025-08-11T15:04:00Z</dcterms:created>
  <dc:creator>范天成</dc:creator>
  <cp:lastModifiedBy>范天成</cp:lastModifiedBy>
  <dcterms:modified xsi:type="dcterms:W3CDTF">2026-02-07T14:22:08Z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A96D9A7A5668479081DE8C55DFE83D7B_12</vt:lpwstr>
  </property>
  <property fmtid="{D5CDD505-2E9C-101B-9397-08002B2CF9AE}" pid="4" name="KSOTemplateDocerSaveRecord">
    <vt:lpwstr>eyJoZGlkIjoiYzVjZjljMzdhYjM3NzViZjJhYWJkODA1NmNlMDdlYzUiLCJ1c2VySWQiOiIxNjIzNDEzNzY2In0=</vt:lpwstr>
  </property>
</Properties>
</file>