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第五步-基于元件故障概率的蒙特卡洛故障场景抽样"/>
    <w:p>
      <w:pPr>
        <w:pStyle w:val="Heading1"/>
      </w:pPr>
      <w:r>
        <w:t xml:space="preserve">第五步　基于元件故障概率的蒙特卡洛故障场景抽样</w:t>
      </w:r>
    </w:p>
    <w:p>
      <w:pPr>
        <w:pStyle w:val="FirstParagraph"/>
      </w:pPr>
      <w:r>
        <w:t xml:space="preserve">本节在</w:t>
      </w:r>
      <w:r>
        <w:t xml:space="preserve"> </w:t>
      </w:r>
      <w:r>
        <w:rPr>
          <w:rStyle w:val="VerbatimChar"/>
        </w:rPr>
        <w:t xml:space="preserve">docs/04_极热条件元件故障概率模型.md</w:t>
      </w:r>
      <w:r>
        <w:t xml:space="preserve"> </w:t>
      </w:r>
      <w:r>
        <w:t xml:space="preserve">得到的元件故障概率基础上，生成极热场景下的</w:t>
      </w:r>
      <w:r>
        <w:t xml:space="preserve"> </w:t>
      </w:r>
      <w:r>
        <w:t xml:space="preserve">蒙特卡洛故障场景集合。每个故障场景用一个</w:t>
      </w:r>
      <w:r>
        <w:t xml:space="preserve"> </w:t>
      </w:r>
      <w:r>
        <w:rPr>
          <w:bCs/>
          <w:b/>
        </w:rPr>
        <w:t xml:space="preserve">85 维 0/1 向量</w:t>
      </w:r>
      <w:r>
        <w:t xml:space="preserve">表示：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z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46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29</m:t>
                  </m:r>
                </m:sub>
              </m:sSub>
            </m:e>
          </m:d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85</m:t>
              </m:r>
            </m:sup>
          </m:sSup>
        </m:oMath>
      </m:oMathPara>
    </w:p>
    <w:p>
      <w:pPr>
        <w:pStyle w:val="FirstParagraph"/>
      </w:pPr>
      <w:r>
        <w:t xml:space="preserve">其中：</w:t>
      </w:r>
    </w:p>
    <w:p>
      <w:pPr>
        <w:numPr>
          <w:ilvl w:val="0"/>
          <w:numId w:val="1001"/>
        </w:numPr>
        <w:pStyle w:val="Compact"/>
      </w:pPr>
      <m:oMath>
        <m:r>
          <m:t>0</m:t>
        </m:r>
      </m:oMath>
      <w:r>
        <w:t xml:space="preserve">：该元件在本次抽样中</w:t>
      </w:r>
      <w:r>
        <w:rPr>
          <w:bCs/>
          <w:b/>
        </w:rPr>
        <w:t xml:space="preserve">故障</w:t>
      </w:r>
      <w:r>
        <w:t xml:space="preserve">；</w:t>
      </w:r>
    </w:p>
    <w:p>
      <w:pPr>
        <w:numPr>
          <w:ilvl w:val="0"/>
          <w:numId w:val="1001"/>
        </w:numPr>
        <w:pStyle w:val="Compact"/>
      </w:pPr>
      <m:oMath>
        <m:r>
          <m:t>1</m:t>
        </m:r>
      </m:oMath>
      <w:r>
        <w:t xml:space="preserve">：该元件在本次抽样中</w:t>
      </w:r>
      <w:r>
        <w:rPr>
          <w:bCs/>
          <w:b/>
        </w:rPr>
        <w:t xml:space="preserve">良好</w:t>
      </w:r>
      <w:r>
        <w:t xml:space="preserve">；</w:t>
      </w:r>
    </w:p>
    <w:p>
      <w:pPr>
        <w:numPr>
          <w:ilvl w:val="0"/>
          <w:numId w:val="1001"/>
        </w:numPr>
        <w:pStyle w:val="Compact"/>
      </w:pP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2000</m:t>
        </m:r>
      </m:oMath>
      <w:r>
        <w:t xml:space="preserve"> </w:t>
      </w:r>
      <w:r>
        <w:t xml:space="preserve">为场景编号。</w:t>
      </w:r>
    </w:p>
    <w:p>
      <w:r>
        <w:pict>
          <v:rect style="width:0;height:1.5pt" o:hralign="center" o:hrstd="t" o:hr="t"/>
        </w:pict>
      </w:r>
    </w:p>
    <w:bookmarkStart w:id="20" w:name="向量顺序"/>
    <w:p>
      <w:pPr>
        <w:pStyle w:val="Heading2"/>
      </w:pPr>
      <w:r>
        <w:t xml:space="preserve">1. 向量顺序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维度位置（1-based）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发电机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1–10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线路/支路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11–56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46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节点变压器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57–85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29</m:t>
                  </m:r>
                </m:sub>
              </m:sSub>
            </m:oMath>
          </w:p>
        </w:tc>
      </w:tr>
    </w:tbl>
    <w:p>
      <w:pPr>
        <w:pStyle w:val="BodyText"/>
      </w:pPr>
      <w:r>
        <w:t xml:space="preserve">因此总维数：</w:t>
      </w:r>
    </w:p>
    <w:p>
      <w:pPr>
        <w:pStyle w:val="BodyText"/>
      </w:pPr>
      <m:oMathPara>
        <m:oMathParaPr>
          <m:jc m:val="center"/>
        </m:oMathParaPr>
        <m:oMath>
          <m:r>
            <m:t>10</m:t>
          </m:r>
          <m:r>
            <m:rPr>
              <m:sty m:val="p"/>
            </m:rPr>
            <m:t>+</m:t>
          </m:r>
          <m:r>
            <m:t>46</m:t>
          </m:r>
          <m:r>
            <m:rPr>
              <m:sty m:val="p"/>
            </m:rPr>
            <m:t>+</m:t>
          </m:r>
          <m:r>
            <m:t>29</m:t>
          </m:r>
          <m:r>
            <m:rPr>
              <m:sty m:val="p"/>
            </m:rPr>
            <m:t>=</m:t>
          </m:r>
          <m:r>
            <m:t>85</m:t>
          </m:r>
        </m:oMath>
      </m:oMathPara>
    </w:p>
    <w:p>
      <w:pPr>
        <w:pStyle w:val="BlockText"/>
      </w:pPr>
      <w:r>
        <w:t xml:space="preserve">注：线路分块包含 IEEE 39 节点算例的全部 46 条支路；其中</w:t>
      </w:r>
      <w:r>
        <w:t xml:space="preserve"> </w:t>
      </w:r>
      <w:r>
        <w:rPr>
          <w:rStyle w:val="VerbatimChar"/>
        </w:rPr>
        <w:t xml:space="preserve">tap≠0</w:t>
      </w:r>
      <w:r>
        <w:t xml:space="preserve"> </w:t>
      </w:r>
      <w:r>
        <w:t xml:space="preserve">的 12 条支路仍作为线路/支路元件参与抽样，</w:t>
      </w:r>
      <w:r>
        <w:rPr>
          <w:bCs/>
          <w:b/>
        </w:rPr>
        <w:t xml:space="preserve">不作为变压器元件</w:t>
      </w:r>
      <w:r>
        <w:t xml:space="preserve">。变压器元件按</w:t>
      </w:r>
      <w:r>
        <w:t xml:space="preserve"> </w:t>
      </w:r>
      <w:r>
        <w:rPr>
          <w:rStyle w:val="VerbatimChar"/>
        </w:rPr>
        <w:t xml:space="preserve">docs/04</w:t>
      </w:r>
      <w:r>
        <w:t xml:space="preserve"> </w:t>
      </w:r>
      <w:r>
        <w:t xml:space="preserve">的假设为 29 台节点变压器（每个非电源节点一台）。</w:t>
      </w:r>
    </w:p>
    <w:p>
      <w:r>
        <w:pict>
          <v:rect style="width:0;height:1.5pt" o:hralign="center" o:hrstd="t" o:hr="t"/>
        </w:pict>
      </w:r>
    </w:p>
    <w:bookmarkEnd w:id="20"/>
    <w:bookmarkStart w:id="21" w:name="抽样规则"/>
    <w:p>
      <w:pPr>
        <w:pStyle w:val="Heading2"/>
      </w:pPr>
      <w:r>
        <w:t xml:space="preserve">2. 抽样规则</w:t>
      </w:r>
    </w:p>
    <w:p>
      <w:pPr>
        <w:pStyle w:val="FirstParagraph"/>
      </w:pPr>
      <w:r>
        <w:t xml:space="preserve">设第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个元件的故障概率为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。对每个场景、每个元件独立产生随机数：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∼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并按下式得到状态：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s</m:t>
                            </m:r>
                          </m:e>
                        </m:d>
                      </m:sup>
                    </m:sSubSup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 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故障</m:t>
                        </m:r>
                      </m:e>
                    </m:d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s</m:t>
                            </m:r>
                          </m:e>
                        </m:d>
                      </m:sup>
                    </m:sSubSup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 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良好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例如：若某元件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0.8</m:t>
        </m:r>
      </m:oMath>
      <w:r>
        <w:t xml:space="preserve">，则一次抽样中它有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概率取</w:t>
      </w:r>
      <w:r>
        <w:t xml:space="preserve"> </w:t>
      </w:r>
      <m:oMath>
        <m:r>
          <m:t>0</m:t>
        </m:r>
      </m:oMath>
      <w:r>
        <w:t xml:space="preserve">，有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概率取</w:t>
      </w:r>
      <w:r>
        <w:t xml:space="preserve"> </w:t>
      </w:r>
      <m:oMath>
        <m:r>
          <m:t>1</m:t>
        </m:r>
      </m:oMath>
      <w:r>
        <w:t xml:space="preserve">。</w:t>
      </w:r>
    </w:p>
    <w:p>
      <w:pPr>
        <w:pStyle w:val="BodyText"/>
      </w:pPr>
      <w:r>
        <w:t xml:space="preserve">本算例使用固定随机种子：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r>
            <m:rPr>
              <m:sty m:val="p"/>
            </m:rPr>
            <m:t>=</m:t>
          </m:r>
          <m:r>
            <m:t>20260627</m:t>
          </m:r>
        </m:oMath>
      </m:oMathPara>
    </w:p>
    <w:p>
      <w:pPr>
        <w:pStyle w:val="FirstParagraph"/>
      </w:pPr>
      <w:r>
        <w:t xml:space="preserve">保证结果可复现。</w:t>
      </w:r>
    </w:p>
    <w:p>
      <w:r>
        <w:pict>
          <v:rect style="width:0;height:1.5pt" o:hralign="center" o:hrstd="t" o:hr="t"/>
        </w:pict>
      </w:r>
    </w:p>
    <w:bookmarkEnd w:id="21"/>
    <w:bookmarkStart w:id="22" w:name="输出文件"/>
    <w:p>
      <w:pPr>
        <w:pStyle w:val="Heading2"/>
      </w:pPr>
      <w:r>
        <w:t xml:space="preserve">3. 输出文件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verify/fault_scenarios_2000.csv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 行故障场景；第一列为</w:t>
            </w:r>
            <w:r>
              <w:t xml:space="preserve"> </w:t>
            </w:r>
            <w:r>
              <w:rPr>
                <w:rStyle w:val="VerbatimChar"/>
              </w:rPr>
              <w:t xml:space="preserve">scenario</w:t>
            </w:r>
            <w:r>
              <w:t xml:space="preserve">，后 85 列为</w:t>
            </w:r>
            <w:r>
              <w:t xml:space="preserve"> </w:t>
            </w:r>
            <w:r>
              <w:rPr>
                <w:rStyle w:val="VerbatimChar"/>
              </w:rPr>
              <w:t xml:space="preserve">G1..G10,L1..L46,T1..T29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verify/fault_scenarios_2000_meta.json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元数据：随机种子、向量顺序、各元件故障概率、前 5 个样例场景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matlab/monte_carlo_fault_scenarios.m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MATLAB 版本蒙特卡洛抽样函数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verify/mc_fault_scenarios.py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生成脚本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当前生成结果统计"/>
    <w:p>
      <w:pPr>
        <w:pStyle w:val="Heading2"/>
      </w:pPr>
      <w:r>
        <w:t xml:space="preserve">4. 当前生成结果统计</w:t>
      </w:r>
    </w:p>
    <w:p>
      <w:pPr>
        <w:pStyle w:val="FirstParagraph"/>
      </w:pPr>
      <w:r>
        <w:t xml:space="preserve">基于</w:t>
      </w:r>
      <w:r>
        <w:t xml:space="preserve"> </w:t>
      </w:r>
      <w:r>
        <w:rPr>
          <w:rStyle w:val="VerbatimChar"/>
        </w:rPr>
        <w:t xml:space="preserve">docs/04</w:t>
      </w:r>
      <w:r>
        <w:t xml:space="preserve"> </w:t>
      </w:r>
      <w:r>
        <w:t xml:space="preserve">的故障概率，生成</w:t>
      </w:r>
      <w:r>
        <w:t xml:space="preserve"> </w:t>
      </w:r>
      <m:oMath>
        <m:r>
          <m:t>2000</m:t>
        </m:r>
        <m:r>
          <m:rPr>
            <m:sty m:val="p"/>
          </m:rPr>
          <m:t>×</m:t>
        </m:r>
        <m:r>
          <m:t>85</m:t>
        </m:r>
      </m:oMath>
      <w:r>
        <w:t xml:space="preserve"> </w:t>
      </w:r>
      <w:r>
        <w:t xml:space="preserve">场景矩阵后统计如下：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场景数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每个场景维数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总故障事件数（2000×85 中 0 的个数）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至少含一个故障的场景数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单场景最大故障元件数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发电机故障事件数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线路/支路故障事件数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节点变压器故障事件数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pPr>
        <w:pStyle w:val="BodyText"/>
      </w:pPr>
      <w:r>
        <w:t xml:space="preserve">第一条样例场景为：</w:t>
      </w:r>
    </w:p>
    <w:p>
      <w:pPr>
        <w:pStyle w:val="SourceCode"/>
      </w:pPr>
      <w:r>
        <w:rPr>
          <w:rStyle w:val="VerbatimChar"/>
        </w:rPr>
        <w:t xml:space="preserve">[1, 1, 1, 1, 1, 1, 1, 1, 1, 1,</w:t>
      </w:r>
      <w:r>
        <w:br/>
      </w:r>
      <w:r>
        <w:rPr>
          <w:rStyle w:val="VerbatimChar"/>
        </w:rPr>
        <w:t xml:space="preserve"> 1, 1, 1, 1, 1, 1, 1, 1, 1, 1,</w:t>
      </w:r>
      <w:r>
        <w:br/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 xml:space="preserve"> 1]</w:t>
      </w:r>
    </w:p>
    <w:p>
      <w:pPr>
        <w:pStyle w:val="FirstParagraph"/>
      </w:pPr>
      <w:r>
        <w:t xml:space="preserve">第一条全为 1 是合理的，因为单元件故障概率整体较低；完整矩阵见</w:t>
      </w:r>
      <w:r>
        <w:t xml:space="preserve"> </w:t>
      </w:r>
      <w:r>
        <w:rPr>
          <w:rStyle w:val="VerbatimChar"/>
        </w:rPr>
        <w:t xml:space="preserve">verify/fault_scenarios_2000.csv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Start w:id="26" w:name="运行方式"/>
    <w:p>
      <w:pPr>
        <w:pStyle w:val="Heading2"/>
      </w:pPr>
      <w:r>
        <w:t xml:space="preserve">5. 运行方式</w:t>
      </w:r>
    </w:p>
    <w:bookmarkStart w:id="24" w:name="matlab"/>
    <w:p>
      <w:pPr>
        <w:pStyle w:val="Heading3"/>
      </w:pPr>
      <w:r>
        <w:t xml:space="preserve">MATLAB</w:t>
      </w:r>
    </w:p>
    <w:p>
      <w:pPr>
        <w:pStyle w:val="SourceCode"/>
      </w:pPr>
      <w:r>
        <w:rPr>
          <w:rStyle w:val="Variable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matlab</w:t>
      </w:r>
      <w:r>
        <w:br/>
      </w:r>
      <w:r>
        <w:br/>
      </w:r>
      <w:r>
        <w:rPr>
          <w:rStyle w:val="CommentTok"/>
        </w:rPr>
        <w:t xml:space="preserve">% 自动计算故障概率并生成 2000 个 85 维场景</w:t>
      </w:r>
      <w:r>
        <w:br/>
      </w:r>
      <w:r>
        <w:rPr>
          <w:rStyle w:val="VariableTok"/>
        </w:rPr>
        <w:t xml:space="preserve">mc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monte_carlo_fault_scenarios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指定场景数、随机种子、CSV 输出</w:t>
      </w:r>
      <w:r>
        <w:br/>
      </w:r>
      <w:r>
        <w:rPr>
          <w:rStyle w:val="VariableTok"/>
        </w:rPr>
        <w:t xml:space="preserve">fp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fault_probability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若已传入 res/mpc/sc，可用 fault_probability(res,mpc,sc,false)</w:t>
      </w:r>
      <w:r>
        <w:br/>
      </w:r>
      <w:r>
        <w:rPr>
          <w:rStyle w:val="VariableTok"/>
        </w:rPr>
        <w:t xml:space="preserve">mc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monte_carlo_fault_scenarios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20260627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'../verify/fault_scenarios_2000_from_matlab.csv'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4"/>
    <w:bookmarkStart w:id="25" w:name="python"/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verify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mc_fault_scenarios.py</w:t>
      </w:r>
    </w:p>
    <w:p>
      <w:pPr>
        <w:pStyle w:val="FirstParagraph"/>
      </w:pPr>
      <w:r>
        <w:t xml:space="preserve">输出：</w:t>
      </w:r>
    </w:p>
    <w:p>
      <w:pPr>
        <w:pStyle w:val="SourceCode"/>
      </w:pPr>
      <w:r>
        <w:rPr>
          <w:rStyle w:val="VerbatimChar"/>
        </w:rPr>
        <w:t xml:space="preserve">generated 2000 scenarios x 85 components</w:t>
      </w:r>
      <w:r>
        <w:br/>
      </w:r>
      <w:r>
        <w:rPr>
          <w:rStyle w:val="VerbatimChar"/>
        </w:rPr>
        <w:t xml:space="preserve">vector order: [G1..G10, L1..L46, T1..T29]</w:t>
      </w:r>
      <w:r>
        <w:br/>
      </w:r>
      <w:r>
        <w:rPr>
          <w:rStyle w:val="VerbatimChar"/>
        </w:rPr>
        <w:t xml:space="preserve">encoding: 0=fault, 1=healthy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后续用途"/>
    <w:p>
      <w:pPr>
        <w:pStyle w:val="Heading2"/>
      </w:pPr>
      <w:r>
        <w:t xml:space="preserve">6. 后续用途</w:t>
      </w:r>
    </w:p>
    <w:p>
      <w:pPr>
        <w:pStyle w:val="FirstParagraph"/>
      </w:pPr>
      <w:r>
        <w:t xml:space="preserve">这 2000 个故障场景可作为后续可靠性/韧性评估输入，例如：</w:t>
      </w:r>
    </w:p>
    <w:p>
      <w:pPr>
        <w:numPr>
          <w:ilvl w:val="0"/>
          <w:numId w:val="1002"/>
        </w:numPr>
        <w:pStyle w:val="Compact"/>
      </w:pPr>
      <w:r>
        <w:t xml:space="preserve">对每个场景移除故障元件（发电机、线路、节点变压器）；</w:t>
      </w:r>
    </w:p>
    <w:p>
      <w:pPr>
        <w:numPr>
          <w:ilvl w:val="0"/>
          <w:numId w:val="1002"/>
        </w:numPr>
        <w:pStyle w:val="Compact"/>
      </w:pPr>
      <w:r>
        <w:t xml:space="preserve">重新进行潮流/最优潮流或连通性判别；</w:t>
      </w:r>
    </w:p>
    <w:p>
      <w:pPr>
        <w:numPr>
          <w:ilvl w:val="0"/>
          <w:numId w:val="1002"/>
        </w:numPr>
        <w:pStyle w:val="Compact"/>
      </w:pPr>
      <w:r>
        <w:t xml:space="preserve">统计失负荷、电源损失、线路断面风险、节点供电可达性等指标；</w:t>
      </w:r>
    </w:p>
    <w:p>
      <w:pPr>
        <w:numPr>
          <w:ilvl w:val="0"/>
          <w:numId w:val="1002"/>
        </w:numPr>
        <w:pStyle w:val="Compact"/>
      </w:pPr>
      <w:r>
        <w:t xml:space="preserve">得到极热条件下系统风险的经验分布。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2026-07-10T02:44:48Z</dcterms:created>
  <dcterms:modified xsi:type="dcterms:W3CDTF">2026-07-10T02:44:48Z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