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第六步-热故障场景下的故障后-dc-opf-遍历与切负荷统计"/>
    <w:p>
      <w:pPr>
        <w:pStyle w:val="Heading1"/>
      </w:pPr>
      <w:r>
        <w:t xml:space="preserve">第六步　热故障场景下的故障后 DC-OPF 遍历与切负荷统计</w:t>
      </w:r>
    </w:p>
    <w:p>
      <w:pPr>
        <w:pStyle w:val="FirstParagraph"/>
      </w:pPr>
      <w:r>
        <w:t xml:space="preserve">本节在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的 2000 个 85 维蒙特卡洛故障场景基础上，逐场景求解故障后 DC-OPF/MIQP，得到热故障与源-荷失衡耦合条件下的切负荷分布。</w:t>
      </w:r>
    </w:p>
    <w:p>
      <w:r>
        <w:pict>
          <v:rect style="width:0;height:1.5pt" o:hralign="center" o:hrstd="t" o:hr="t"/>
        </w:pict>
      </w:r>
    </w:p>
    <w:bookmarkStart w:id="22" w:name="两阶段调度逻辑"/>
    <w:p>
      <w:pPr>
        <w:pStyle w:val="Heading2"/>
      </w:pPr>
      <w:r>
        <w:t xml:space="preserve">1. 两阶段调度逻辑</w:t>
      </w:r>
    </w:p>
    <w:bookmarkStart w:id="20" w:name="源-荷失衡基准-opf"/>
    <w:p>
      <w:pPr>
        <w:pStyle w:val="Heading3"/>
      </w:pPr>
      <w:r>
        <w:t xml:space="preserve">1.1 源-荷失衡基准 OPF</w:t>
      </w:r>
    </w:p>
    <w:p>
      <w:pPr>
        <w:pStyle w:val="FirstParagraph"/>
      </w:pPr>
      <w:r>
        <w:t xml:space="preserve">首先求解无元件故障的源-荷失衡基准 OPF。由于此时不知道上一时刻各机组出力，</w:t>
      </w:r>
      <w:r>
        <w:rPr>
          <w:bCs/>
          <w:b/>
        </w:rPr>
        <w:t xml:space="preserve">不施加爬坡约束</w:t>
      </w:r>
      <w:r>
        <w:t xml:space="preserve">。对火电机组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</m:oMath>
      <w:r>
        <w:t xml:space="preserve">，开机状态下的调度区间为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sSub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bar>
                <m:barPr>
                  <m:pos m:val="top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基准 OPF 得到的机组出力记为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⋆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∈</m:t>
          </m:r>
          <m:r>
            <m:rPr>
              <m:sty m:val="p"/>
              <m:scr m:val="script"/>
            </m:rPr>
            <m:t>G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该结果作为故障后 OPF 的爬坡基准。</w:t>
      </w:r>
    </w:p>
    <w:bookmarkEnd w:id="20"/>
    <w:bookmarkStart w:id="21" w:name="故障后-opf"/>
    <w:p>
      <w:pPr>
        <w:pStyle w:val="Heading3"/>
      </w:pPr>
      <w:r>
        <w:t xml:space="preserve">1.2 故障后 OPF</w:t>
      </w:r>
    </w:p>
    <w:p>
      <w:pPr>
        <w:pStyle w:val="FirstParagraph"/>
      </w:pPr>
      <w:r>
        <w:t xml:space="preserve">对第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个故障场景，火电、水电等可调机组的爬坡约束以基准 OPF 出力</w:t>
      </w:r>
      <w:r>
        <w:t xml:space="preserve"> </w:t>
      </w: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 </w:t>
      </w:r>
      <w:r>
        <w:t xml:space="preserve">为中心。火电机组的开机可调度上下界为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⋆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↓</m:t>
                  </m:r>
                </m:sup>
              </m:sSubSup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bar>
                <m:barPr>
                  <m:pos m:val="top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⋆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↑</m:t>
                  </m:r>
                </m:sup>
              </m:sSubSup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并施加启停约束：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t> </m:t>
          </m:r>
          <m:sSubSup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u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t> </m:t>
          </m:r>
          <m:sSubSup>
            <m:e>
              <m:bar>
                <m:barPr>
                  <m:pos m:val="top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ty m:val="p"/>
                  <m:scr m:val="script"/>
                </m:rPr>
                <m:t>G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水电机组不设置启停变量，仅在故障后 OPF 中按基准出力</w:t>
      </w:r>
      <w:r>
        <w:t xml:space="preserve"> </w:t>
      </w:r>
      <m:oMath>
        <m:sSubSup>
          <m:e>
            <m:r>
              <m:t>P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 </w:t>
      </w:r>
      <w:r>
        <w:t xml:space="preserve">施加爬坡区间：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⋆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↓</m:t>
                  </m:r>
                </m:sup>
              </m:sSubSup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⋆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↑</m:t>
                  </m:r>
                </m:sup>
              </m:sSubSup>
              <m:r>
                <m:t>Δ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E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l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故障映射"/>
    <w:p>
      <w:pPr>
        <w:pStyle w:val="Heading2"/>
      </w:pPr>
      <w:r>
        <w:t xml:space="preserve">2. 故障映射</w:t>
      </w:r>
    </w:p>
    <w:p>
      <w:pPr>
        <w:pStyle w:val="FirstParagraph"/>
      </w:pPr>
      <w:r>
        <w:t xml:space="preserve">故障场景向量为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z</m:t>
              </m:r>
            </m:e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z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10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sSubSup>
                    <m:e>
                      <m:r>
                        <m:t>z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z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46</m:t>
                      </m:r>
                    </m:sub>
                    <m:sup>
                      <m:r>
                        <m:t>L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sSubSup>
                    <m:e>
                      <m:r>
                        <m:t>z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z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29</m:t>
                      </m:r>
                    </m:sub>
                    <m:sup>
                      <m:r>
                        <m:t>T</m:t>
                      </m:r>
                    </m:sup>
                  </m:sSubSup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85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表示故障，</w:t>
      </w:r>
      <m:oMath>
        <m:r>
          <m:t>1</m:t>
        </m:r>
      </m:oMath>
      <w:r>
        <w:t xml:space="preserve"> </w:t>
      </w:r>
      <w:r>
        <w:t xml:space="preserve">表示良好。</w:t>
      </w:r>
    </w:p>
    <w:p>
      <w:pPr>
        <w:numPr>
          <w:ilvl w:val="0"/>
          <w:numId w:val="1001"/>
        </w:numPr>
        <w:pStyle w:val="Compact"/>
      </w:pPr>
      <w:r>
        <w:t xml:space="preserve">若</w:t>
      </w:r>
      <w:r>
        <w:t xml:space="preserve"> </w:t>
      </w:r>
      <m:oMath>
        <m:sSubSup>
          <m:e>
            <m:r>
              <m:t>z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g</m:t>
            </m:r>
          </m:sub>
          <m:sup>
            <m:r>
              <m:t>G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，则机组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故障，令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g</m:t>
            </m:r>
            <m:r>
              <m:rPr>
                <m:sty m:val="p"/>
              </m:rPr>
              <m:t>,</m:t>
            </m:r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；若该机组为火电，则同时强制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若</w:t>
      </w:r>
      <w:r>
        <w:t xml:space="preserve"> </w:t>
      </w:r>
      <m:oMath>
        <m:sSubSup>
          <m:e>
            <m:r>
              <m:t>z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l</m:t>
            </m:r>
          </m:sub>
          <m:sup>
            <m:r>
              <m:t>L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，则支路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退出网络，其电纳不再计入</w:t>
      </w:r>
      <w: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</m:sub>
        </m:sSub>
      </m:oMath>
      <w:r>
        <w:t xml:space="preserve">，故障后报告潮流为</w:t>
      </w:r>
      <w:r>
        <w:t xml:space="preserve"> </w:t>
      </w:r>
      <m:oMath>
        <m:sSub>
          <m:e>
            <m:r>
              <m:t>f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若节点变压器</w:t>
      </w:r>
      <w: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故障，则其所在非电源节点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的所有关联支路退出：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z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  <m:sup>
              <m:r>
                <m:t>L</m:t>
              </m:r>
            </m:sup>
          </m:sSubSu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  <m:sup>
                  <m:r>
                    <m:t>T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l</m:t>
            </m:r>
          </m:sub>
        </m:sSub>
      </m:oMath>
      <w:r>
        <w:t xml:space="preserve"> </w:t>
      </w:r>
      <w:r>
        <w:t xml:space="preserve">为最终支路可用性。</w:t>
      </w:r>
    </w:p>
    <w:p>
      <w:r>
        <w:pict>
          <v:rect style="width:0;height:1.5pt" o:hralign="center" o:hrstd="t" o:hr="t"/>
        </w:pict>
      </w:r>
    </w:p>
    <w:bookmarkEnd w:id="23"/>
    <w:bookmarkStart w:id="24" w:name="可行性处理"/>
    <w:p>
      <w:pPr>
        <w:pStyle w:val="Heading2"/>
      </w:pPr>
      <w:r>
        <w:t xml:space="preserve">3. 可行性处理</w:t>
      </w:r>
    </w:p>
    <w:p>
      <w:pPr>
        <w:pStyle w:val="FirstParagraph"/>
      </w:pPr>
      <w:r>
        <w:t xml:space="preserve">此前不含启停约束时，若线路或变压器故障导致网络分裂，可能出现孤岛内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  <m:scr m:val="script"/>
                    </m:rPr>
                    <m:t>G</m:t>
                  </m:r>
                </m:e>
                <m:sub>
                  <m:r>
                    <m:t>c</m:t>
                  </m:r>
                </m:sub>
              </m:sSub>
            </m:sub>
            <m:sup>
              <m:r>
                <m:t>​</m:t>
              </m:r>
            </m:sup>
            <m:e>
              <m:sSub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</m:e>
          </m:nary>
          <m:r>
            <m:rPr>
              <m:sty m:val="p"/>
            </m:rPr>
            <m:t>&gt;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  <m:scr m:val="script"/>
                    </m:rP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∩</m:t>
              </m:r>
              <m:r>
                <m:rPr>
                  <m:sty m:val="p"/>
                  <m:scr m:val="script"/>
                </m:rPr>
                <m:t>D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即“最小出力大于可消纳负荷”的结构性不可行。加入火电启停变量后，孤岛内火电可取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，使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，从而优先满足网络安全与功率平衡约束。这样可能增加系统切负荷，但避免了原模型的不可行情形。</w:t>
      </w:r>
    </w:p>
    <w:p>
      <w:r>
        <w:pict>
          <v:rect style="width:0;height:1.5pt" o:hralign="center" o:hrstd="t" o:hr="t"/>
        </w:pict>
      </w:r>
    </w:p>
    <w:bookmarkEnd w:id="24"/>
    <w:bookmarkStart w:id="25" w:name="场景统计结果"/>
    <w:p>
      <w:pPr>
        <w:pStyle w:val="Heading2"/>
      </w:pPr>
      <w:r>
        <w:t xml:space="preserve">4. 2000 场景统计结果</w:t>
      </w:r>
    </w:p>
    <w:p>
      <w:pPr>
        <w:pStyle w:val="FirstParagraph"/>
      </w:pPr>
      <w:r>
        <w:t xml:space="preserve">基准 OPF 不施加爬坡约束，得到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762.8059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故障后 OPF 对 2000 个场景全部可解：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场景数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</w:tbl>
    <w:p>
      <w:pPr>
        <w:pStyle w:val="BodyText"/>
      </w:pPr>
      <w:r>
        <w:t xml:space="preserve">总切负荷分布如下：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统计量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总切负荷</w:t>
            </w:r>
            <w:r>
              <w:t xml:space="preserve"> </w:t>
            </w:r>
            <m:oMath>
              <m:r>
                <m:t>Δ</m:t>
              </m:r>
              <m:sSup>
                <m:e>
                  <m:r>
                    <m:t>D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</m:sup>
              </m:sSup>
            </m:oMath>
            <w:r>
              <w:t xml:space="preserve"> </w:t>
            </w:r>
            <w:r>
              <w:t xml:space="preserve">/ 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相对基准新增切负荷 /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951.578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188.772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标准差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377.126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377.126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分位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25% 分位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中位数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75% 分位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分位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1542.806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95% 分位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1765.556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99% 分位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2292.206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1529.400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3330.397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2567.592</w:t>
            </w:r>
          </w:p>
        </w:tc>
      </w:tr>
    </w:tbl>
    <w:p>
      <w:pPr>
        <w:pStyle w:val="BodyText"/>
      </w:pPr>
      <w:r>
        <w:t xml:space="preserve">共有 388 个场景出现至少一台火电关停（包括故障强制停机与孤岛安全关停）。高切负荷场景主要由多台大容量火电机组故障或停机造成。</w:t>
      </w:r>
    </w:p>
    <w:p>
      <w:r>
        <w:pict>
          <v:rect style="width:0;height:1.5pt" o:hralign="center" o:hrstd="t" o:hr="t"/>
        </w:pict>
      </w:r>
    </w:p>
    <w:bookmarkEnd w:id="25"/>
    <w:bookmarkStart w:id="26" w:name="实现文件"/>
    <w:p>
      <w:pPr>
        <w:pStyle w:val="Heading2"/>
      </w:pPr>
      <w:r>
        <w:t xml:space="preserve">5. 实现文件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verify/evaluate_fault_scenarios.py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Python/cvxpy 故障后 OPF 遍历与统计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verify/fault_scenario_opf_summary.csv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 个场景逐场景 OPF 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verify/fault_scenario_opf_stats.json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切负荷分布统计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matlab/evaluate_fault_scenarios.m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MATLAB/Gurobi 版故障后 OPF 遍历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matlab/build_and_solve_dcopf.m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支持火电启停、机组故障和支路退出的 DC-OPF/MIQP 求解器</w:t>
            </w:r>
          </w:p>
        </w:tc>
      </w:tr>
    </w:tbl>
    <w:p>
      <w:pPr>
        <w:pStyle w:val="BodyText"/>
      </w:pPr>
      <w:r>
        <w:t xml:space="preserve">Python 运行：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verify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evaluate_fault_scenarios.py</w:t>
      </w:r>
    </w:p>
    <w:p>
      <w:pPr>
        <w:pStyle w:val="FirstParagraph"/>
      </w:pPr>
      <w:r>
        <w:t xml:space="preserve">MATLAB/Gurobi 运行：</w:t>
      </w:r>
    </w:p>
    <w:p>
      <w:pPr>
        <w:pStyle w:val="SourceCode"/>
      </w:pP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matlab</w:t>
      </w:r>
      <w:r>
        <w:br/>
      </w:r>
      <w:r>
        <w:rPr>
          <w:rStyle w:val="VariableTok"/>
        </w:rPr>
        <w:t xml:space="preserve">stats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evaluate_fault_scenarios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2026-07-10T02:44:48Z</dcterms:created>
  <dcterms:modified xsi:type="dcterms:W3CDTF">2026-07-10T02:44:48Z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