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4B6" w:rsidRDefault="00654D09">
      <w:pPr>
        <w:spacing w:before="2400"/>
        <w:jc w:val="center"/>
      </w:pPr>
      <w:bookmarkStart w:id="0" w:name="_GoBack"/>
      <w:bookmarkEnd w:id="0"/>
      <w:r>
        <w:rPr>
          <w:b/>
          <w:bCs/>
          <w:color w:val="1F4E78"/>
          <w:sz w:val="44"/>
          <w:szCs w:val="44"/>
        </w:rPr>
        <w:t>BUSINESS REQUIREMENTS DOCUMENT</w:t>
      </w:r>
    </w:p>
    <w:p w:rsidR="00A454B6" w:rsidRDefault="00654D09">
      <w:pPr>
        <w:spacing w:before="300"/>
        <w:jc w:val="center"/>
      </w:pPr>
      <w:r>
        <w:rPr>
          <w:color w:val="444444"/>
          <w:sz w:val="28"/>
          <w:szCs w:val="28"/>
        </w:rPr>
        <w:t>Running Telco — Enterprise Data Platform on Snowflake &amp; AWS</w:t>
      </w:r>
    </w:p>
    <w:p w:rsidR="00A454B6" w:rsidRDefault="00654D09">
      <w:pPr>
        <w:spacing w:before="800"/>
        <w:jc w:val="center"/>
      </w:pPr>
      <w:r>
        <w:rPr>
          <w:sz w:val="22"/>
          <w:szCs w:val="22"/>
        </w:rPr>
        <w:t>Document Type:  Business Requirements Document (BRD)</w:t>
      </w:r>
    </w:p>
    <w:p w:rsidR="00A454B6" w:rsidRDefault="00654D09">
      <w:pPr>
        <w:jc w:val="center"/>
      </w:pPr>
      <w:r>
        <w:rPr>
          <w:sz w:val="22"/>
          <w:szCs w:val="22"/>
        </w:rPr>
        <w:t>Version:  1.0</w:t>
      </w:r>
    </w:p>
    <w:p w:rsidR="00A454B6" w:rsidRDefault="00654D09">
      <w:pPr>
        <w:jc w:val="center"/>
      </w:pPr>
      <w:r>
        <w:rPr>
          <w:sz w:val="22"/>
          <w:szCs w:val="22"/>
        </w:rPr>
        <w:t>Status:  Approved for Development</w:t>
      </w:r>
    </w:p>
    <w:p w:rsidR="00A454B6" w:rsidRDefault="00654D09">
      <w:pPr>
        <w:jc w:val="center"/>
      </w:pPr>
      <w:r>
        <w:rPr>
          <w:sz w:val="22"/>
          <w:szCs w:val="22"/>
        </w:rPr>
        <w:t>Prepared For:  Data Engineering &amp; BI Program — Running Telco</w:t>
      </w:r>
    </w:p>
    <w:p w:rsidR="00A454B6" w:rsidRDefault="00654D09">
      <w:pPr>
        <w:spacing w:before="1600"/>
        <w:jc w:val="center"/>
      </w:pPr>
      <w:r>
        <w:rPr>
          <w:i/>
          <w:iCs/>
          <w:color w:val="888888"/>
        </w:rPr>
        <w:t>CONFIDENTIAL — Training / Demonstration Use</w:t>
      </w:r>
    </w:p>
    <w:p w:rsidR="00A454B6" w:rsidRDefault="00654D09">
      <w:r>
        <w:br w:type="page"/>
      </w:r>
    </w:p>
    <w:p w:rsidR="00A454B6" w:rsidRDefault="00654D09">
      <w:pPr>
        <w:pStyle w:val="Heading1"/>
        <w:spacing w:before="320" w:after="160"/>
      </w:pPr>
      <w:bookmarkStart w:id="1" w:name="_Toc237803984"/>
      <w:r>
        <w:lastRenderedPageBreak/>
        <w:t>Document Control</w:t>
      </w:r>
      <w:bookmarkEnd w:id="1"/>
    </w:p>
    <w:p w:rsidR="00A454B6" w:rsidRDefault="00654D09">
      <w:pPr>
        <w:pStyle w:val="Heading2"/>
        <w:spacing w:before="240" w:after="120"/>
      </w:pPr>
      <w:bookmarkStart w:id="2" w:name="_Toc237803985"/>
      <w:r>
        <w:t>Version History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1403"/>
        <w:gridCol w:w="2618"/>
        <w:gridCol w:w="4208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7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22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0.1</w:t>
            </w:r>
          </w:p>
        </w:tc>
        <w:tc>
          <w:tcPr>
            <w:tcW w:w="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2026-06-02</w:t>
            </w:r>
          </w:p>
        </w:tc>
        <w:tc>
          <w:tcPr>
            <w:tcW w:w="14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Business Analysis Team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Initial draft circulated for stakeholder review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0.5</w:t>
            </w:r>
          </w:p>
        </w:tc>
        <w:tc>
          <w:tcPr>
            <w:tcW w:w="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2026-06-10</w:t>
            </w:r>
          </w:p>
        </w:tc>
        <w:tc>
          <w:tcPr>
            <w:tcW w:w="14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Business Analysis Team</w:t>
            </w:r>
          </w:p>
        </w:tc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Incorporated Finance &amp; Network Ops feedback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1.0</w:t>
            </w:r>
          </w:p>
        </w:tc>
        <w:tc>
          <w:tcPr>
            <w:tcW w:w="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2026-06-18</w:t>
            </w:r>
          </w:p>
        </w:tc>
        <w:tc>
          <w:tcPr>
            <w:tcW w:w="14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Business Analysis Team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Approved baseline — released to Data Engineering</w:t>
            </w:r>
          </w:p>
        </w:tc>
      </w:tr>
    </w:tbl>
    <w:p w:rsidR="00A454B6" w:rsidRDefault="00A454B6">
      <w:pPr>
        <w:spacing w:after="160"/>
      </w:pPr>
    </w:p>
    <w:p w:rsidR="00A454B6" w:rsidRDefault="00654D09">
      <w:pPr>
        <w:pStyle w:val="Heading2"/>
        <w:spacing w:before="240" w:after="120"/>
      </w:pPr>
      <w:bookmarkStart w:id="3" w:name="_Toc237803986"/>
      <w:r>
        <w:t>Approvers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3740"/>
        <w:gridCol w:w="2805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0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Name / Function</w:t>
            </w:r>
          </w:p>
        </w:tc>
        <w:tc>
          <w:tcPr>
            <w:tcW w:w="15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Business Sponsor</w:t>
            </w:r>
          </w:p>
        </w:tc>
        <w:tc>
          <w:tcPr>
            <w:tcW w:w="20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VP, Customer &amp; Revenue Analytics</w:t>
            </w:r>
          </w:p>
        </w:tc>
        <w:tc>
          <w:tcPr>
            <w:tcW w:w="1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Approved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Data &amp; Analytics Lead</w:t>
            </w:r>
          </w:p>
        </w:tc>
        <w:tc>
          <w:tcPr>
            <w:tcW w:w="20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Head of Data Engineering</w:t>
            </w:r>
          </w:p>
        </w:tc>
        <w:tc>
          <w:tcPr>
            <w:tcW w:w="15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Approved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Compliance / Privacy Officer</w:t>
            </w:r>
          </w:p>
        </w:tc>
        <w:tc>
          <w:tcPr>
            <w:tcW w:w="20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Data Governance Office</w:t>
            </w:r>
          </w:p>
        </w:tc>
        <w:tc>
          <w:tcPr>
            <w:tcW w:w="1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Approved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Finance / Billing Owner</w:t>
            </w:r>
          </w:p>
        </w:tc>
        <w:tc>
          <w:tcPr>
            <w:tcW w:w="20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Director, Revenue Assurance</w:t>
            </w:r>
          </w:p>
        </w:tc>
        <w:tc>
          <w:tcPr>
            <w:tcW w:w="15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Approved</w:t>
            </w:r>
          </w:p>
        </w:tc>
      </w:tr>
    </w:tbl>
    <w:p w:rsidR="00A454B6" w:rsidRDefault="00A454B6">
      <w:pPr>
        <w:spacing w:after="160"/>
      </w:pPr>
    </w:p>
    <w:p w:rsidR="00A454B6" w:rsidRDefault="00654D09">
      <w:pPr>
        <w:pStyle w:val="Heading2"/>
        <w:spacing w:before="240" w:after="120"/>
      </w:pPr>
      <w:bookmarkStart w:id="4" w:name="_Toc237803987"/>
      <w:r>
        <w:t>Related Documents</w:t>
      </w:r>
      <w:bookmarkEnd w:id="4"/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FRD_RunningTelco.docx — Functional Requirements Document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conceptual_data_model.svg / logical_data_model.svg / physical_data_model.svg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Source_to_Target_Mapping.xlsx — field-level mapping and business rules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architecture.svg — Snowflake + AWS platform architecture</w:t>
      </w:r>
    </w:p>
    <w:p w:rsidR="00A454B6" w:rsidRDefault="00654D09">
      <w:r>
        <w:br w:type="page"/>
      </w:r>
    </w:p>
    <w:p w:rsidR="00A454B6" w:rsidRDefault="00654D09">
      <w:pPr>
        <w:pStyle w:val="Heading1"/>
        <w:spacing w:before="320" w:after="160"/>
      </w:pPr>
      <w:bookmarkStart w:id="5" w:name="_Toc237803988"/>
      <w:r>
        <w:lastRenderedPageBreak/>
        <w:t>Table of Contents</w:t>
      </w:r>
      <w:bookmarkEnd w:id="5"/>
    </w:p>
    <w:p w:rsidR="00A454B6" w:rsidRDefault="00654D09">
      <w:pPr>
        <w:spacing w:after="200"/>
      </w:pPr>
      <w:r>
        <w:rPr>
          <w:i/>
          <w:iCs/>
          <w:color w:val="888888"/>
          <w:sz w:val="16"/>
          <w:szCs w:val="16"/>
        </w:rPr>
        <w:t>(Right-click below and choose "</w:t>
      </w:r>
      <w:r>
        <w:rPr>
          <w:i/>
          <w:iCs/>
          <w:color w:val="888888"/>
          <w:sz w:val="16"/>
          <w:szCs w:val="16"/>
        </w:rPr>
        <w:t>Update Field" after opening in Word to populate — or Word will prompt automatically.)</w:t>
      </w:r>
    </w:p>
    <w:sdt>
      <w:sdtPr>
        <w:alias w:val="Table of Contents"/>
        <w:id w:val="1957668390"/>
      </w:sdtPr>
      <w:sdtEndPr/>
      <w:sdtContent>
        <w:p w:rsidR="00E66504" w:rsidRDefault="00654D0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803984" w:history="1">
            <w:r w:rsidR="00E66504" w:rsidRPr="00062B7A">
              <w:rPr>
                <w:rStyle w:val="Hyperlink"/>
                <w:noProof/>
              </w:rPr>
              <w:t>Document Control</w:t>
            </w:r>
            <w:r w:rsidR="00E66504">
              <w:rPr>
                <w:noProof/>
              </w:rPr>
              <w:tab/>
            </w:r>
            <w:r w:rsidR="00E66504">
              <w:rPr>
                <w:noProof/>
              </w:rPr>
              <w:fldChar w:fldCharType="begin"/>
            </w:r>
            <w:r w:rsidR="00E66504">
              <w:rPr>
                <w:noProof/>
              </w:rPr>
              <w:instrText xml:space="preserve"> PAGEREF _Toc237803984 \h </w:instrText>
            </w:r>
            <w:r w:rsidR="00E66504">
              <w:rPr>
                <w:noProof/>
              </w:rPr>
            </w:r>
            <w:r w:rsidR="00E66504">
              <w:rPr>
                <w:noProof/>
              </w:rPr>
              <w:fldChar w:fldCharType="separate"/>
            </w:r>
            <w:r w:rsidR="00E66504">
              <w:rPr>
                <w:noProof/>
              </w:rPr>
              <w:t>2</w:t>
            </w:r>
            <w:r w:rsidR="00E66504"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85" w:history="1">
            <w:r w:rsidRPr="00062B7A">
              <w:rPr>
                <w:rStyle w:val="Hyperlink"/>
                <w:noProof/>
              </w:rPr>
              <w:t>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86" w:history="1">
            <w:r w:rsidRPr="00062B7A">
              <w:rPr>
                <w:rStyle w:val="Hyperlink"/>
                <w:noProof/>
              </w:rPr>
              <w:t>Approvers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87" w:history="1">
            <w:r w:rsidRPr="00062B7A">
              <w:rPr>
                <w:rStyle w:val="Hyperlink"/>
                <w:noProof/>
              </w:rPr>
              <w:t>Related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88" w:history="1">
            <w:r w:rsidRPr="00062B7A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89" w:history="1">
            <w:r w:rsidRPr="00062B7A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90" w:history="1">
            <w:r w:rsidRPr="00062B7A">
              <w:rPr>
                <w:rStyle w:val="Hyperlink"/>
                <w:noProof/>
              </w:rPr>
              <w:t>2. Business Background &amp;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91" w:history="1">
            <w:r w:rsidRPr="00062B7A">
              <w:rPr>
                <w:rStyle w:val="Hyperlink"/>
                <w:noProof/>
              </w:rPr>
              <w:t>3.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92" w:history="1">
            <w:r w:rsidRPr="00062B7A">
              <w:rPr>
                <w:rStyle w:val="Hyperlink"/>
                <w:noProof/>
              </w:rPr>
              <w:t>4.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93" w:history="1">
            <w:r w:rsidRPr="00062B7A">
              <w:rPr>
                <w:rStyle w:val="Hyperlink"/>
                <w:noProof/>
              </w:rPr>
              <w:t>4.1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94" w:history="1">
            <w:r w:rsidRPr="00062B7A">
              <w:rPr>
                <w:rStyle w:val="Hyperlink"/>
                <w:noProof/>
              </w:rPr>
              <w:t>4.2 Out of Scope (this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95" w:history="1">
            <w:r w:rsidRPr="00062B7A">
              <w:rPr>
                <w:rStyle w:val="Hyperlink"/>
                <w:noProof/>
              </w:rPr>
              <w:t>5.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3996" w:history="1">
            <w:r w:rsidRPr="00062B7A">
              <w:rPr>
                <w:rStyle w:val="Hyperlink"/>
                <w:noProof/>
              </w:rPr>
              <w:t>6. Business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97" w:history="1">
            <w:r w:rsidRPr="00062B7A">
              <w:rPr>
                <w:rStyle w:val="Hyperlink"/>
                <w:noProof/>
              </w:rPr>
              <w:t>6.1 Subscriber &amp; Plan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98" w:history="1">
            <w:r w:rsidRPr="00062B7A">
              <w:rPr>
                <w:rStyle w:val="Hyperlink"/>
                <w:noProof/>
              </w:rPr>
              <w:t>6.2 Usage &amp;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3999" w:history="1">
            <w:r w:rsidRPr="00062B7A">
              <w:rPr>
                <w:rStyle w:val="Hyperlink"/>
                <w:noProof/>
              </w:rPr>
              <w:t>6.3 Billing &amp; Revenue 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4000" w:history="1">
            <w:r w:rsidRPr="00062B7A">
              <w:rPr>
                <w:rStyle w:val="Hyperlink"/>
                <w:noProof/>
              </w:rPr>
              <w:t>6.4 Customer 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4001" w:history="1">
            <w:r w:rsidRPr="00062B7A">
              <w:rPr>
                <w:rStyle w:val="Hyperlink"/>
                <w:noProof/>
              </w:rPr>
              <w:t>6.5 Data Governance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4002" w:history="1">
            <w:r w:rsidRPr="00062B7A">
              <w:rPr>
                <w:rStyle w:val="Hyperlink"/>
                <w:noProof/>
              </w:rPr>
              <w:t>6.6 Data Sharing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804003" w:history="1">
            <w:r w:rsidRPr="00062B7A">
              <w:rPr>
                <w:rStyle w:val="Hyperlink"/>
                <w:noProof/>
              </w:rPr>
              <w:t>6.7 Operational Visibility (Audit &amp; Control)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4004" w:history="1">
            <w:r w:rsidRPr="00062B7A">
              <w:rPr>
                <w:rStyle w:val="Hyperlink"/>
                <w:noProof/>
              </w:rPr>
              <w:t>7. Assumptions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4005" w:history="1">
            <w:r w:rsidRPr="00062B7A">
              <w:rPr>
                <w:rStyle w:val="Hyperlink"/>
                <w:noProof/>
              </w:rPr>
              <w:t>8. Success Criteria /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66504" w:rsidRDefault="00E665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804006" w:history="1">
            <w:r w:rsidRPr="00062B7A">
              <w:rPr>
                <w:rStyle w:val="Hyperlink"/>
                <w:noProof/>
              </w:rPr>
              <w:t>9.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_Toc237804006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454B6" w:rsidRDefault="00654D09">
          <w:r>
            <w:fldChar w:fldCharType="end"/>
          </w:r>
        </w:p>
      </w:sdtContent>
    </w:sdt>
    <w:p w:rsidR="00A454B6" w:rsidRDefault="00654D09">
      <w:r>
        <w:br w:type="page"/>
      </w:r>
    </w:p>
    <w:p w:rsidR="00A454B6" w:rsidRDefault="00A454B6">
      <w:pPr>
        <w:sectPr w:rsidR="00A454B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454B6" w:rsidRDefault="00654D09">
      <w:pPr>
        <w:pStyle w:val="Heading1"/>
        <w:spacing w:before="320" w:after="160"/>
      </w:pPr>
      <w:bookmarkStart w:id="6" w:name="_Toc237803989"/>
      <w:r>
        <w:lastRenderedPageBreak/>
        <w:t>1. Executive Summary</w:t>
      </w:r>
      <w:bookmarkEnd w:id="6"/>
    </w:p>
    <w:p w:rsidR="00A454B6" w:rsidRDefault="00654D09">
      <w:pPr>
        <w:spacing w:after="160"/>
      </w:pPr>
      <w:r>
        <w:t>Running Telco is a mid-size telecommunications provider operating prepaid and postpaid mobile services across four re</w:t>
      </w:r>
      <w:r>
        <w:t>gions (North, South, East, West). The business currently manages subscriber, usage, billing, network, and customer-care data across disconnected operational systems (CRM, mediation platform, billing engine, customer-care ticketing) with no unified, governe</w:t>
      </w:r>
      <w:r>
        <w:t>d, analytics-ready view of the customer. This document defines the business requirements for a centralized data platform on Snowflake, sourced from AWS S3, that consolidates these feeds into a governed, auditable, and shareable data asset for Finance, Netw</w:t>
      </w:r>
      <w:r>
        <w:t>ork Operations, Customer Care, and Executive reporting.</w:t>
      </w:r>
    </w:p>
    <w:p w:rsidR="00A454B6" w:rsidRDefault="00654D09">
      <w:pPr>
        <w:spacing w:after="160"/>
      </w:pPr>
      <w:r>
        <w:t>The platform must ingest eight core source feeds (subscribers, plans, devices, call detail records, billing, payments, network towers, and support tickets), apply consistent data-quality and transform</w:t>
      </w:r>
      <w:r>
        <w:t>ation rules, protect regulated and sensitive data through masking and access controls, and provide a complete operational audit trail of every data movement. A subset of aggregated, non-PII metrics must also be securely shared with an external roaming/anal</w:t>
      </w:r>
      <w:r>
        <w:t>ytics partner.</w:t>
      </w:r>
    </w:p>
    <w:p w:rsidR="00A454B6" w:rsidRDefault="00654D09">
      <w:pPr>
        <w:pStyle w:val="Heading1"/>
        <w:spacing w:before="320" w:after="160"/>
      </w:pPr>
      <w:bookmarkStart w:id="7" w:name="_Toc237803990"/>
      <w:r>
        <w:t>2. Business Background &amp; Problem Statement</w:t>
      </w:r>
      <w:bookmarkEnd w:id="7"/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Subscriber, usage, billing, and network data are siloed across four source systems with no common identifier discipline or unified customer view.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Revenue assurance (Finance) cannot currently reconci</w:t>
      </w:r>
      <w:r>
        <w:t>le invoiced amounts against actual usage without manual, spreadsheet-based extracts.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Network Operations lacks a governed, regionally-segmented view of tower capacity and usage to plan capacity upgrades.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 xml:space="preserve">Customer Care cannot see a subscriber's full history </w:t>
      </w:r>
      <w:r>
        <w:t>(plan changes, billing status, past tickets) in one place, extending average resolution time.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There is no consistent way to know whether yesterday's data loads actually succeeded, what failed, or how many records were rejected — issues are discovered downs</w:t>
      </w:r>
      <w:r>
        <w:t>tream by report consumers, not by the data team.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Regulatory and contractual obligations require that personally identifiable information (PII) — names, national ID, contact details, date of birth, payment card data — be access-controlled and masked for all</w:t>
      </w:r>
      <w:r>
        <w:t xml:space="preserve"> but a small set of authorized roles.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A roaming partner requires ongoing access to aggregated regional usage and revenue metrics, but must never receive subscriber-level or PII data, and must not be granted compute access to internal systems.</w:t>
      </w:r>
    </w:p>
    <w:p w:rsidR="00A454B6" w:rsidRDefault="00654D09">
      <w:pPr>
        <w:pStyle w:val="Heading1"/>
        <w:spacing w:before="320" w:after="160"/>
      </w:pPr>
      <w:bookmarkStart w:id="8" w:name="_Toc237803991"/>
      <w:r>
        <w:t>3. Business O</w:t>
      </w:r>
      <w:r>
        <w:t>bjectives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4208"/>
        <w:gridCol w:w="4208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2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Business Value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OBJ-1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Establish a single governed source of truth for subscriber, usage, billing, and network data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Eliminates manual reconciliation; enables trusted self-service reporting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OBJ-2</w:t>
            </w:r>
          </w:p>
        </w:tc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Automate daily and hourly data ingestion with full auditability</w:t>
            </w:r>
          </w:p>
        </w:tc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Reduces manual effort; failures are visible same-day, not discovered downstream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OBJ-3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Enforce data privacy and regional access controls at the platform level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 xml:space="preserve">Satisfies regulatory/contractual </w:t>
            </w:r>
            <w:r>
              <w:rPr>
                <w:sz w:val="18"/>
                <w:szCs w:val="18"/>
              </w:rPr>
              <w:t>PII obligations without relying on report-level discipline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OBJ-4</w:t>
            </w:r>
          </w:p>
        </w:tc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Enable secure, controlled external data sharing</w:t>
            </w:r>
          </w:p>
        </w:tc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Supports partner/regulatory obligations without exposing subscriber-level data or compute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5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OBJ-5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Provide operational visibility into pipeline health</w:t>
            </w:r>
          </w:p>
        </w:tc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Data Engineering can proactively detect and resolve failures before business impact</w:t>
            </w:r>
          </w:p>
        </w:tc>
      </w:tr>
    </w:tbl>
    <w:p w:rsidR="00A454B6" w:rsidRDefault="00654D09">
      <w:pPr>
        <w:pStyle w:val="Heading1"/>
        <w:spacing w:before="320" w:after="160"/>
      </w:pPr>
      <w:bookmarkStart w:id="9" w:name="_Toc237803992"/>
      <w:r>
        <w:t>4. Scope</w:t>
      </w:r>
      <w:bookmarkEnd w:id="9"/>
    </w:p>
    <w:p w:rsidR="00A454B6" w:rsidRDefault="00654D09">
      <w:pPr>
        <w:pStyle w:val="Heading2"/>
        <w:spacing w:before="240" w:after="120"/>
      </w:pPr>
      <w:bookmarkStart w:id="10" w:name="_Toc237803993"/>
      <w:r>
        <w:lastRenderedPageBreak/>
        <w:t>4.1 In Scope</w:t>
      </w:r>
      <w:bookmarkEnd w:id="10"/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Ingestion of 8 source feeds from AWS S3 into Snowflake: Customers, Plans, Devices, Call Detail Records (CDR), Billing, Payments, Network Towers, Support Tickets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Three-layer data architecture: RAW (landing) -&gt; STAGING (cleansed/typed/deduplicated) -&gt; CURATE</w:t>
      </w:r>
      <w:r>
        <w:t>D (dimensional model for reporting)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Historical tracking of subscriber attribute changes (plan, status, address, region) over time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Column-level masking of PII and financial data, and row-level regional access segregation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An audit &amp; control framework recordi</w:t>
      </w:r>
      <w:r>
        <w:t>ng every pipeline run, row counts, and failures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Secure, aggregated data sharing with one external partner</w:t>
      </w:r>
    </w:p>
    <w:p w:rsidR="00A454B6" w:rsidRDefault="00654D09">
      <w:pPr>
        <w:pStyle w:val="Heading2"/>
        <w:spacing w:before="240" w:after="120"/>
      </w:pPr>
      <w:bookmarkStart w:id="11" w:name="_Toc237803994"/>
      <w:r>
        <w:t>4.2 Out of Scope (this phase)</w:t>
      </w:r>
      <w:bookmarkEnd w:id="11"/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Real-time (sub-minute) streaming ingestion — CDR is near-real-time (hourly), not streaming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Machine learning / churn pred</w:t>
      </w:r>
      <w:r>
        <w:t>iction models (data foundation only; models are a future phase)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Direct write-back to source operational systems (CRM, billing engine)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Self-service BI tool selection/licensing (platform provides governed data; BI tool is a separate initiative)</w:t>
      </w:r>
    </w:p>
    <w:p w:rsidR="00A454B6" w:rsidRDefault="00654D09">
      <w:pPr>
        <w:pStyle w:val="Heading1"/>
        <w:spacing w:before="320" w:after="160"/>
      </w:pPr>
      <w:bookmarkStart w:id="12" w:name="_Toc237803995"/>
      <w:r>
        <w:t>5. Stakeholde</w:t>
      </w:r>
      <w:r>
        <w:t>rs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2"/>
        <w:gridCol w:w="6078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32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Interest / Role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VP, Customer &amp; Revenue Analytics (Sponsor)</w:t>
            </w:r>
          </w:p>
        </w:tc>
        <w:tc>
          <w:tcPr>
            <w:tcW w:w="3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Business owner; approves scope and 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Finance / Revenue Assurance</w:t>
            </w:r>
          </w:p>
        </w:tc>
        <w:tc>
          <w:tcPr>
            <w:tcW w:w="3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Consumes billing vs. usage vs. payment reconciliation; needs financial data accuracy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Network Operations</w:t>
            </w:r>
          </w:p>
        </w:tc>
        <w:tc>
          <w:tcPr>
            <w:tcW w:w="3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Consumes tower capacity/usage data for regional capacity planning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Customer Care Leadership</w:t>
            </w:r>
          </w:p>
        </w:tc>
        <w:tc>
          <w:tcPr>
            <w:tcW w:w="3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Consumes unified subscriber view and ticket SLA metrics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Data Governance / Compliance Officer</w:t>
            </w:r>
          </w:p>
        </w:tc>
        <w:tc>
          <w:tcPr>
            <w:tcW w:w="3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Owns PII classification, masking, and access-policy requirements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Data Engineering</w:t>
            </w:r>
          </w:p>
        </w:tc>
        <w:tc>
          <w:tcPr>
            <w:tcW w:w="3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Builds and operates the pipeline; consumes audit/control data for operations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External Roaming/Analytics Partner</w:t>
            </w:r>
          </w:p>
        </w:tc>
        <w:tc>
          <w:tcPr>
            <w:tcW w:w="3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Consumes aggregated, non-PII regional metrics via secure data share</w:t>
            </w:r>
          </w:p>
        </w:tc>
      </w:tr>
    </w:tbl>
    <w:p w:rsidR="00A454B6" w:rsidRDefault="00654D09">
      <w:pPr>
        <w:pStyle w:val="Heading1"/>
        <w:spacing w:before="320" w:after="160"/>
      </w:pPr>
      <w:bookmarkStart w:id="13" w:name="_Toc237803996"/>
      <w:r>
        <w:t>6. Business Requirements</w:t>
      </w:r>
      <w:bookmarkEnd w:id="13"/>
    </w:p>
    <w:p w:rsidR="00A454B6" w:rsidRDefault="00654D09">
      <w:pPr>
        <w:spacing w:after="160"/>
      </w:pPr>
      <w:r>
        <w:t>Each requirement is uniquely numbered and traced to functional requirements in the FRD.</w:t>
      </w:r>
    </w:p>
    <w:p w:rsidR="00A454B6" w:rsidRDefault="00654D09">
      <w:pPr>
        <w:pStyle w:val="Heading2"/>
        <w:spacing w:before="240" w:after="120"/>
      </w:pPr>
      <w:bookmarkStart w:id="14" w:name="_Toc237803997"/>
      <w:r>
        <w:t>6.1 Subscriber &amp; Plan Management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BR-001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 xml:space="preserve">The platform shall maintain a complete history of each subscriber's plan, address, region, and account </w:t>
            </w:r>
            <w:r>
              <w:rPr>
                <w:sz w:val="18"/>
                <w:szCs w:val="18"/>
              </w:rPr>
              <w:t>status changes, so that a subscriber's attributes can be reported as of any past date.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BR-002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a current, de-duplicated view of every subscriber, sourced from daily CRM extracts.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BR-003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the current rate-plan catalog (fees, data/voice/SMS entitlements) available for billing and usage-rating reference.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BR-004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a registry of subscriber devices (IMEI, model, status) linked to t</w:t>
            </w:r>
            <w:r>
              <w:rPr>
                <w:sz w:val="18"/>
                <w:szCs w:val="18"/>
              </w:rPr>
              <w:t>he owning subscriber.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Should Have</w:t>
            </w:r>
          </w:p>
        </w:tc>
      </w:tr>
    </w:tbl>
    <w:p w:rsidR="00A454B6" w:rsidRDefault="00654D09">
      <w:pPr>
        <w:pStyle w:val="Heading2"/>
        <w:spacing w:before="240" w:after="120"/>
      </w:pPr>
      <w:bookmarkStart w:id="15" w:name="_Toc237803998"/>
      <w:r>
        <w:t>6.2 Usage &amp; Network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BR-005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capture every call, SMS, and data session (Call Detail Record) with the subscriber, tower, timestamps, and volume, without ever amending a record after it is loaded.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BR-006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Usage data shall be available for reporting within 1 hour of the session occurring.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lastRenderedPageBreak/>
              <w:t>BR-007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the current operational status and capacity of every network tower, segmented by region.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Should Have</w:t>
            </w:r>
          </w:p>
        </w:tc>
      </w:tr>
    </w:tbl>
    <w:p w:rsidR="00A454B6" w:rsidRDefault="00654D09">
      <w:pPr>
        <w:pStyle w:val="Heading2"/>
        <w:spacing w:before="240" w:after="120"/>
      </w:pPr>
      <w:bookmarkStart w:id="16" w:name="_Toc237803999"/>
      <w:r>
        <w:t>6.3 Billing &amp; Revenue Assurance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BR-008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monthly invoices per subscriber, including the ability to reflect billing corrections and status changes (open/paid/overdue) after issuance.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BR-009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payment transactions linked to invoices, tracking payment lifecycle (pending/success/failed).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BR-010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Only successfully completed payments shall count toward reported collected revenue.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BR-011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provide a combined view of billed amount, collected amount, and usage volume per subscriber per billing period.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</w:tbl>
    <w:p w:rsidR="00A454B6" w:rsidRDefault="00654D09">
      <w:pPr>
        <w:pStyle w:val="Heading2"/>
        <w:spacing w:before="240" w:after="120"/>
      </w:pPr>
      <w:bookmarkStart w:id="17" w:name="_Toc237804000"/>
      <w:r>
        <w:t>6.4 Customer Care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BR-012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platform shall maintain customer support tickets with category, priority, channel, and resolution time.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Should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BR-013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Ticket resolution time shall be automatically calculated from open/close timestamps — it is not provided by the source system.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Should Have</w:t>
            </w:r>
          </w:p>
        </w:tc>
      </w:tr>
    </w:tbl>
    <w:p w:rsidR="00A454B6" w:rsidRDefault="00654D09">
      <w:pPr>
        <w:pStyle w:val="Heading2"/>
        <w:spacing w:before="240" w:after="120"/>
      </w:pPr>
      <w:bookmarkStart w:id="18" w:name="_Toc237804001"/>
      <w:r>
        <w:t>6.5 Data Governance &amp; Compliance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BR-014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Personally identifiable information (name, national ID, date of birth, email, phone, address, payment card) shall be masked for all roles except designated Compliance and Administrator roles.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BR-015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Regional analyst roles shall only be able to view data for their assigned region(s); a Global analyst role may view all regions.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BR-016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Every column containing sensitive data shall be classified and tagged (PII, Financial, Confidential) to support data discovery and compliance reporting.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</w:tbl>
    <w:p w:rsidR="00A454B6" w:rsidRDefault="00654D09">
      <w:pPr>
        <w:pStyle w:val="Heading2"/>
        <w:spacing w:before="240" w:after="120"/>
      </w:pPr>
      <w:bookmarkStart w:id="19" w:name="_Toc237804002"/>
      <w:r>
        <w:t>6.6 Data Sharing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BR-017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Aggregated, non-subscriber-level usage and revenue metrics shall be made available to one external partner account without copying data out of Snowflake and without exposing subscriber-level or PII data.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BR-018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external partner shall not be granted Snowflake compute (warehouse) access — only read access to the shared views.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</w:tbl>
    <w:p w:rsidR="00A454B6" w:rsidRDefault="00654D09">
      <w:pPr>
        <w:pStyle w:val="Heading2"/>
        <w:spacing w:before="240" w:after="120"/>
      </w:pPr>
      <w:bookmarkStart w:id="20" w:name="_Toc237804003"/>
      <w:r>
        <w:t>6.7 Operational Visibility (Audit &amp; Control)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7106"/>
        <w:gridCol w:w="1122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8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0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BR-019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Every data load and transformation shall be logged with start/end time, status, and row counts (read, inserted, updated, rejected).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BR-020</w:t>
            </w:r>
          </w:p>
        </w:tc>
        <w:tc>
          <w:tcPr>
            <w:tcW w:w="38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Every failure shall be captured with enough detail (error type, message, context) to diagnose the cause without re-running the job.</w:t>
            </w:r>
          </w:p>
        </w:tc>
        <w:tc>
          <w:tcPr>
            <w:tcW w:w="60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BR-021</w:t>
            </w:r>
          </w:p>
        </w:tc>
        <w:tc>
          <w:tcPr>
            <w:tcW w:w="38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Data Engineering shall be able to see, in one place, the current status of every pipeline job and any unre</w:t>
            </w:r>
            <w:r>
              <w:rPr>
                <w:sz w:val="18"/>
                <w:szCs w:val="18"/>
              </w:rPr>
              <w:t>solved errors.</w:t>
            </w:r>
          </w:p>
        </w:tc>
        <w:tc>
          <w:tcPr>
            <w:tcW w:w="60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Must Have</w:t>
            </w:r>
          </w:p>
        </w:tc>
      </w:tr>
    </w:tbl>
    <w:p w:rsidR="00A454B6" w:rsidRDefault="00654D09">
      <w:pPr>
        <w:pStyle w:val="Heading1"/>
        <w:spacing w:before="320" w:after="160"/>
      </w:pPr>
      <w:bookmarkStart w:id="21" w:name="_Toc237804004"/>
      <w:r>
        <w:t>7. Assumptions &amp; Constraints</w:t>
      </w:r>
      <w:bookmarkEnd w:id="21"/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Source systems (CRM, mediation platform, billing engine, ticketing) will continue to deliver files to the agreed AWS S3 landing bucket in the agreed format and cadence; file-format changes require a change request.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lastRenderedPageBreak/>
        <w:t>Snowflake and AWS are the approved platfo</w:t>
      </w:r>
      <w:r>
        <w:t>rms for this initiative; no alternative cloud data warehouse is in scope.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The four operating regions (North, South, East, West) are fixed for this phase; adding a region requires a governance configuration change, not a re-architecture.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>Reference data volu</w:t>
      </w:r>
      <w:r>
        <w:t>mes are modest (thousands of subscribers); CDR is the only high-volume feed and is architected accordingly.</w:t>
      </w:r>
    </w:p>
    <w:p w:rsidR="00A454B6" w:rsidRDefault="00654D09">
      <w:pPr>
        <w:pStyle w:val="ListParagraph"/>
        <w:numPr>
          <w:ilvl w:val="0"/>
          <w:numId w:val="1"/>
        </w:numPr>
        <w:spacing w:after="80"/>
      </w:pPr>
      <w:r>
        <w:t xml:space="preserve">This is a training/demonstration build using synthetic data generated to match real source-system contracts; production onboarding would substitute </w:t>
      </w:r>
      <w:r>
        <w:t>live source extracts without changing the pipeline design.</w:t>
      </w:r>
    </w:p>
    <w:p w:rsidR="00A454B6" w:rsidRDefault="00654D09">
      <w:pPr>
        <w:pStyle w:val="Heading1"/>
        <w:spacing w:before="320" w:after="160"/>
      </w:pPr>
      <w:bookmarkStart w:id="22" w:name="_Toc237804005"/>
      <w:r>
        <w:t>8. Success Criteria / KPIs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7"/>
        <w:gridCol w:w="5143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7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Daily batch feeds available for reporting</w:t>
            </w:r>
          </w:p>
        </w:tc>
        <w:tc>
          <w:tcPr>
            <w:tcW w:w="2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By 09:00 local time each business day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CDR data latency</w:t>
            </w:r>
          </w:p>
        </w:tc>
        <w:tc>
          <w:tcPr>
            <w:tcW w:w="2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Available for reporting within 1 hour of session end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Pipeline failure visibility</w:t>
            </w:r>
          </w:p>
        </w:tc>
        <w:tc>
          <w:tcPr>
            <w:tcW w:w="2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100% of failures logged with root-cause detail; zero silent failures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PII exposure incidents</w:t>
            </w:r>
          </w:p>
        </w:tc>
        <w:tc>
          <w:tcPr>
            <w:tcW w:w="2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Zero — enforced by platform-level masking, not report-level discipline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2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Partner data share compute exposure</w:t>
            </w:r>
          </w:p>
        </w:tc>
        <w:tc>
          <w:tcPr>
            <w:tcW w:w="2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Zero — partner has no warehouse access</w:t>
            </w:r>
          </w:p>
        </w:tc>
      </w:tr>
    </w:tbl>
    <w:p w:rsidR="00A454B6" w:rsidRDefault="00654D09">
      <w:pPr>
        <w:pStyle w:val="Heading1"/>
        <w:spacing w:before="320" w:after="160"/>
      </w:pPr>
      <w:bookmarkStart w:id="23" w:name="_Toc237804006"/>
      <w:r>
        <w:t>9. Glossary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A45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3750" w:type="pct"/>
            <w:shd w:val="clear" w:color="auto" w:fill="1F4E78"/>
            <w:vAlign w:val="center"/>
          </w:tcPr>
          <w:p w:rsidR="00A454B6" w:rsidRDefault="00654D09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CDR</w:t>
            </w:r>
          </w:p>
        </w:tc>
        <w:tc>
          <w:tcPr>
            <w:tcW w:w="3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Call Detail Record — a single voice call, SMS, or data session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SCD Type 2</w:t>
            </w:r>
          </w:p>
        </w:tc>
        <w:tc>
          <w:tcPr>
            <w:tcW w:w="3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Slowly Changing Dimension technique that preserves full history of attribute changes over time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PII</w:t>
            </w:r>
          </w:p>
        </w:tc>
        <w:tc>
          <w:tcPr>
            <w:tcW w:w="3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Personally Identifiable Information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RAW / STAGING / CURATED</w:t>
            </w:r>
          </w:p>
        </w:tc>
        <w:tc>
          <w:tcPr>
            <w:tcW w:w="3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The three data layers: landing copy, cleansed/typed copy, and reporting-ready dimensional model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Row Access Policy</w:t>
            </w:r>
          </w:p>
        </w:tc>
        <w:tc>
          <w:tcPr>
            <w:tcW w:w="3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A Snowflake mechanism restricting which rows a role can see, based on a column value (here: region)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Masking Policy</w:t>
            </w:r>
          </w:p>
        </w:tc>
        <w:tc>
          <w:tcPr>
            <w:tcW w:w="3750" w:type="pct"/>
            <w:shd w:val="clear" w:color="auto" w:fill="F2F2F2"/>
            <w:vAlign w:val="center"/>
          </w:tcPr>
          <w:p w:rsidR="00A454B6" w:rsidRDefault="00654D09">
            <w:r>
              <w:rPr>
                <w:sz w:val="18"/>
                <w:szCs w:val="18"/>
              </w:rPr>
              <w:t>A Snowflake mechanism that returns an obscured value for a column based on the querying role</w:t>
            </w:r>
          </w:p>
        </w:tc>
      </w:tr>
      <w:tr w:rsidR="00A454B6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Secure Data Share</w:t>
            </w:r>
          </w:p>
        </w:tc>
        <w:tc>
          <w:tcPr>
            <w:tcW w:w="3750" w:type="pct"/>
            <w:vAlign w:val="center"/>
          </w:tcPr>
          <w:p w:rsidR="00A454B6" w:rsidRDefault="00654D09">
            <w:r>
              <w:rPr>
                <w:sz w:val="18"/>
                <w:szCs w:val="18"/>
              </w:rPr>
              <w:t>A Snowflake mechanism to expose specific views to another account without copying data</w:t>
            </w:r>
          </w:p>
        </w:tc>
      </w:tr>
    </w:tbl>
    <w:p w:rsidR="00654D09" w:rsidRDefault="00654D09"/>
    <w:sectPr w:rsidR="00654D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D09" w:rsidRDefault="00654D09">
      <w:r>
        <w:separator/>
      </w:r>
    </w:p>
  </w:endnote>
  <w:endnote w:type="continuationSeparator" w:id="0">
    <w:p w:rsidR="00654D09" w:rsidRDefault="0065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4B6" w:rsidRDefault="00654D09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E66504">
      <w:rPr>
        <w:color w:val="888888"/>
        <w:sz w:val="16"/>
        <w:szCs w:val="16"/>
      </w:rPr>
      <w:fldChar w:fldCharType="separate"/>
    </w:r>
    <w:r w:rsidR="00E66504">
      <w:rPr>
        <w:noProof/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E66504">
      <w:rPr>
        <w:color w:val="888888"/>
        <w:sz w:val="16"/>
        <w:szCs w:val="16"/>
      </w:rPr>
      <w:fldChar w:fldCharType="separate"/>
    </w:r>
    <w:r w:rsidR="00E66504">
      <w:rPr>
        <w:noProof/>
        <w:color w:val="888888"/>
        <w:sz w:val="16"/>
        <w:szCs w:val="16"/>
      </w:rPr>
      <w:t>7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D09" w:rsidRDefault="00654D09">
      <w:r>
        <w:separator/>
      </w:r>
    </w:p>
  </w:footnote>
  <w:footnote w:type="continuationSeparator" w:id="0">
    <w:p w:rsidR="00654D09" w:rsidRDefault="00654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4B6" w:rsidRDefault="00654D09">
    <w:pPr>
      <w:jc w:val="right"/>
    </w:pPr>
    <w:r>
      <w:rPr>
        <w:color w:val="888888"/>
        <w:sz w:val="16"/>
        <w:szCs w:val="16"/>
      </w:rPr>
      <w:t>Running Telco —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44074"/>
    <w:multiLevelType w:val="hybridMultilevel"/>
    <w:tmpl w:val="BA9A5B1E"/>
    <w:lvl w:ilvl="0" w:tplc="1FE4C8E4">
      <w:start w:val="1"/>
      <w:numFmt w:val="bullet"/>
      <w:lvlText w:val="●"/>
      <w:lvlJc w:val="left"/>
      <w:pPr>
        <w:ind w:left="720" w:hanging="360"/>
      </w:pPr>
    </w:lvl>
    <w:lvl w:ilvl="1" w:tplc="7BF4DCA6">
      <w:start w:val="1"/>
      <w:numFmt w:val="bullet"/>
      <w:lvlText w:val="○"/>
      <w:lvlJc w:val="left"/>
      <w:pPr>
        <w:ind w:left="1440" w:hanging="360"/>
      </w:pPr>
    </w:lvl>
    <w:lvl w:ilvl="2" w:tplc="5652F0E2">
      <w:start w:val="1"/>
      <w:numFmt w:val="bullet"/>
      <w:lvlText w:val="■"/>
      <w:lvlJc w:val="left"/>
      <w:pPr>
        <w:ind w:left="2160" w:hanging="360"/>
      </w:pPr>
    </w:lvl>
    <w:lvl w:ilvl="3" w:tplc="D7E04006">
      <w:start w:val="1"/>
      <w:numFmt w:val="bullet"/>
      <w:lvlText w:val="●"/>
      <w:lvlJc w:val="left"/>
      <w:pPr>
        <w:ind w:left="2880" w:hanging="360"/>
      </w:pPr>
    </w:lvl>
    <w:lvl w:ilvl="4" w:tplc="9F10AEEA">
      <w:start w:val="1"/>
      <w:numFmt w:val="bullet"/>
      <w:lvlText w:val="○"/>
      <w:lvlJc w:val="left"/>
      <w:pPr>
        <w:ind w:left="3600" w:hanging="360"/>
      </w:pPr>
    </w:lvl>
    <w:lvl w:ilvl="5" w:tplc="F094DC9C">
      <w:start w:val="1"/>
      <w:numFmt w:val="bullet"/>
      <w:lvlText w:val="■"/>
      <w:lvlJc w:val="left"/>
      <w:pPr>
        <w:ind w:left="4320" w:hanging="360"/>
      </w:pPr>
    </w:lvl>
    <w:lvl w:ilvl="6" w:tplc="D0B07232">
      <w:start w:val="1"/>
      <w:numFmt w:val="bullet"/>
      <w:lvlText w:val="●"/>
      <w:lvlJc w:val="left"/>
      <w:pPr>
        <w:ind w:left="5040" w:hanging="360"/>
      </w:pPr>
    </w:lvl>
    <w:lvl w:ilvl="7" w:tplc="485A3412">
      <w:start w:val="1"/>
      <w:numFmt w:val="bullet"/>
      <w:lvlText w:val="●"/>
      <w:lvlJc w:val="left"/>
      <w:pPr>
        <w:ind w:left="5760" w:hanging="360"/>
      </w:pPr>
    </w:lvl>
    <w:lvl w:ilvl="8" w:tplc="097653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4B6"/>
    <w:rsid w:val="00654D09"/>
    <w:rsid w:val="00A454B6"/>
    <w:rsid w:val="00E6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FB6A5E-2688-4668-B32D-68ABB366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65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650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2026-08-16T14:41:00Z</dcterms:created>
  <dcterms:modified xsi:type="dcterms:W3CDTF">2026-08-16T14:50:00Z</dcterms:modified>
</cp:coreProperties>
</file>