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440"/>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clsl-logo.png"/>
                    <pic:cNvPicPr/>
                  </pic:nvPicPr>
                  <pic:blipFill>
                    <a:blip r:embed="rId11"/>
                    <a:stretch>
                      <a:fillRect/>
                    </a:stretch>
                  </pic:blipFill>
                  <pic:spPr>
                    <a:xfrm>
                      <a:off x="0" y="0"/>
                      <a:ext cx="1325880" cy="1325880"/>
                    </a:xfrm>
                    <a:prstGeom prst="rect"/>
                  </pic:spPr>
                </pic:pic>
              </a:graphicData>
            </a:graphic>
          </wp:inline>
        </w:drawing>
      </w:r>
    </w:p>
    <w:p>
      <w:pPr>
        <w:spacing w:after="320"/>
        <w:jc w:val="center"/>
      </w:pPr>
      <w:r>
        <w:rPr>
          <w:rFonts w:ascii="Calibri" w:hAnsi="Calibri"/>
          <w:b/>
          <w:i w:val="0"/>
          <w:color w:val="1F6B43"/>
          <w:sz w:val="18"/>
        </w:rPr>
        <w:t>OPERATIONAL FIELD GUIDE</w:t>
      </w:r>
    </w:p>
    <w:p>
      <w:pPr>
        <w:spacing w:after="160"/>
        <w:jc w:val="center"/>
      </w:pPr>
      <w:r>
        <w:rPr>
          <w:rFonts w:ascii="Calibri" w:hAnsi="Calibri"/>
          <w:b/>
          <w:i w:val="0"/>
          <w:color w:val="183326"/>
          <w:sz w:val="56"/>
        </w:rPr>
        <w:t>Crop Life AI Spray Calculator</w:t>
      </w:r>
    </w:p>
    <w:p>
      <w:pPr>
        <w:spacing w:after="600"/>
        <w:jc w:val="center"/>
      </w:pPr>
      <w:r>
        <w:rPr>
          <w:rFonts w:ascii="Calibri" w:hAnsi="Calibri"/>
          <w:b w:val="0"/>
          <w:i w:val="0"/>
          <w:color w:val="2E74B5"/>
          <w:sz w:val="28"/>
        </w:rPr>
        <w:t>Quantity, pump mixing, pack planning and farmer cost logic</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20"/>
            <w:tcMar>
              <w:top w:w="80" w:type="dxa"/>
              <w:start w:w="120" w:type="dxa"/>
              <w:bottom w:w="80" w:type="dxa"/>
              <w:end w:w="120" w:type="dxa"/>
            </w:tcMar>
            <w:vAlign w:val="center"/>
            <w:shd w:fill="EAF3D7"/>
          </w:tcPr>
          <w:p>
            <w:pPr>
              <w:jc w:val="center"/>
            </w:pPr>
            <w:r>
              <w:rPr>
                <w:rFonts w:ascii="Calibri" w:hAnsi="Calibri"/>
                <w:b/>
                <w:i w:val="0"/>
                <w:color w:val="1F6B43"/>
                <w:sz w:val="16"/>
              </w:rPr>
              <w:t>VERSION</w:t>
              <w:br/>
            </w:r>
            <w:r>
              <w:rPr>
                <w:rFonts w:ascii="Calibri" w:hAnsi="Calibri"/>
                <w:b/>
                <w:i w:val="0"/>
                <w:color w:val="183326"/>
                <w:sz w:val="21"/>
              </w:rPr>
              <w:t>1.0</w:t>
            </w:r>
          </w:p>
        </w:tc>
        <w:tc>
          <w:tcPr>
            <w:tcW w:type="dxa" w:w="3120"/>
            <w:tcMar>
              <w:top w:w="80" w:type="dxa"/>
              <w:start w:w="120" w:type="dxa"/>
              <w:bottom w:w="80" w:type="dxa"/>
              <w:end w:w="120" w:type="dxa"/>
            </w:tcMar>
            <w:vAlign w:val="center"/>
            <w:shd w:fill="EAF3D7"/>
          </w:tcPr>
          <w:p>
            <w:pPr>
              <w:jc w:val="center"/>
            </w:pPr>
            <w:r>
              <w:rPr>
                <w:rFonts w:ascii="Calibri" w:hAnsi="Calibri"/>
                <w:b/>
                <w:i w:val="0"/>
                <w:color w:val="1F6B43"/>
                <w:sz w:val="16"/>
              </w:rPr>
              <w:t>ISSUED</w:t>
              <w:br/>
            </w:r>
            <w:r>
              <w:rPr>
                <w:rFonts w:ascii="Calibri" w:hAnsi="Calibri"/>
                <w:b/>
                <w:i w:val="0"/>
                <w:color w:val="183326"/>
                <w:sz w:val="21"/>
              </w:rPr>
              <w:t>3 September 2026</w:t>
            </w:r>
          </w:p>
        </w:tc>
        <w:tc>
          <w:tcPr>
            <w:tcW w:type="dxa" w:w="3120"/>
            <w:tcMar>
              <w:top w:w="80" w:type="dxa"/>
              <w:start w:w="120" w:type="dxa"/>
              <w:bottom w:w="80" w:type="dxa"/>
              <w:end w:w="120" w:type="dxa"/>
            </w:tcMar>
            <w:vAlign w:val="center"/>
            <w:shd w:fill="EAF3D7"/>
          </w:tcPr>
          <w:p>
            <w:pPr>
              <w:jc w:val="center"/>
            </w:pPr>
            <w:r>
              <w:rPr>
                <w:rFonts w:ascii="Calibri" w:hAnsi="Calibri"/>
                <w:b/>
                <w:i w:val="0"/>
                <w:color w:val="1F6B43"/>
                <w:sz w:val="16"/>
              </w:rPr>
              <w:t>STATUS</w:t>
              <w:br/>
            </w:r>
            <w:r>
              <w:rPr>
                <w:rFonts w:ascii="Calibri" w:hAnsi="Calibri"/>
                <w:b/>
                <w:i w:val="0"/>
                <w:color w:val="183326"/>
                <w:sz w:val="21"/>
              </w:rPr>
              <w:t>Production pilot</w:t>
            </w:r>
          </w:p>
        </w:tc>
      </w:tr>
    </w:tbl>
    <w:p>
      <w:pPr>
        <w:spacing w:before="960" w:after="200"/>
        <w:jc w:val="center"/>
      </w:pPr>
      <w:r>
        <w:rPr>
          <w:rFonts w:ascii="Calibri" w:hAnsi="Calibri"/>
          <w:b/>
          <w:i w:val="0"/>
          <w:color w:val="1F6B43"/>
          <w:sz w:val="22"/>
        </w:rPr>
        <w:t>Purpose</w:t>
      </w:r>
    </w:p>
    <w:p>
      <w:pPr>
        <w:spacing w:after="360" w:line="300" w:lineRule="auto"/>
        <w:jc w:val="center"/>
      </w:pPr>
      <w:r>
        <w:rPr>
          <w:rFonts w:ascii="Calibri" w:hAnsi="Calibri"/>
          <w:b w:val="0"/>
          <w:i w:val="0"/>
          <w:color w:val="183326"/>
          <w:sz w:val="22"/>
        </w:rPr>
        <w:t>This guide records exactly how the web app converts field area, approved dose, water volume, pump size, pack size and price into an application plan and farmer cost estimate.</w:t>
      </w:r>
    </w:p>
    <w:p>
      <w:pPr>
        <w:jc w:val="center"/>
      </w:pPr>
      <w:r>
        <w:rPr>
          <w:rFonts w:ascii="Calibri" w:hAnsi="Calibri"/>
          <w:b/>
          <w:i w:val="0"/>
          <w:color w:val="9A4D30"/>
          <w:sz w:val="19"/>
        </w:rPr>
        <w:t>Safety boundary: calculation is not a pesticide recommendation. The approved label, crop registration and local expert direction remain authoritative.</w:t>
      </w:r>
      <w:r>
        <w:br w:type="page"/>
      </w:r>
    </w:p>
    <w:p>
      <w:pPr>
        <w:pStyle w:val="Heading1"/>
        <w:keepNext/>
      </w:pPr>
      <w:r>
        <w:t>1. What the calculator does</w:t>
      </w:r>
    </w:p>
    <w:p>
      <w:pPr>
        <w:spacing w:after="120" w:line="300" w:lineRule="auto"/>
      </w:pPr>
      <w:r>
        <w:rPr>
          <w:rFonts w:ascii="Calibri" w:hAnsi="Calibri"/>
          <w:b w:val="0"/>
          <w:i w:val="0"/>
          <w:color w:val="183326"/>
          <w:sz w:val="22"/>
        </w:rPr>
        <w:t>The calculator is a planning aid for an already selected and approved CLSL crop-protection product. It does not choose the dose. It scales an approved per-acre dose to the farmer’s actual area, keeps the same product-to-water concentration in every pump, and estimates whole-pack purchase cost.</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cantSplit/>
        </w:trPr>
        <w:tc>
          <w:tcPr>
            <w:tcW w:type="dxa" w:w="2100"/>
            <w:tcMar>
              <w:top w:w="80" w:type="dxa"/>
              <w:start w:w="120" w:type="dxa"/>
              <w:bottom w:w="80" w:type="dxa"/>
              <w:end w:w="120" w:type="dxa"/>
            </w:tcMar>
            <w:vAlign w:val="center"/>
            <w:shd w:fill="E8EEF5"/>
          </w:tcPr>
          <w:p>
            <w:pPr>
              <w:spacing w:after="0"/>
            </w:pPr>
            <w:r>
              <w:rPr>
                <w:rFonts w:ascii="Calibri" w:hAnsi="Calibri"/>
                <w:b/>
                <w:i w:val="0"/>
                <w:color w:val="183326"/>
                <w:sz w:val="18"/>
              </w:rPr>
              <w:t>Input</w:t>
            </w:r>
          </w:p>
        </w:tc>
        <w:tc>
          <w:tcPr>
            <w:tcW w:type="dxa" w:w="4260"/>
            <w:tcMar>
              <w:top w:w="80" w:type="dxa"/>
              <w:start w:w="120" w:type="dxa"/>
              <w:bottom w:w="80" w:type="dxa"/>
              <w:end w:w="120" w:type="dxa"/>
            </w:tcMar>
            <w:vAlign w:val="center"/>
            <w:shd w:fill="E8EEF5"/>
          </w:tcPr>
          <w:p>
            <w:pPr>
              <w:spacing w:after="0"/>
            </w:pPr>
            <w:r>
              <w:rPr>
                <w:rFonts w:ascii="Calibri" w:hAnsi="Calibri"/>
                <w:b/>
                <w:i w:val="0"/>
                <w:color w:val="183326"/>
                <w:sz w:val="18"/>
              </w:rPr>
              <w:t>Meaning</w:t>
            </w:r>
          </w:p>
        </w:tc>
        <w:tc>
          <w:tcPr>
            <w:tcW w:type="dxa" w:w="3000"/>
            <w:tcMar>
              <w:top w:w="80" w:type="dxa"/>
              <w:start w:w="120" w:type="dxa"/>
              <w:bottom w:w="80" w:type="dxa"/>
              <w:end w:w="120" w:type="dxa"/>
            </w:tcMar>
            <w:vAlign w:val="center"/>
            <w:shd w:fill="E8EEF5"/>
          </w:tcPr>
          <w:p>
            <w:pPr>
              <w:spacing w:after="0"/>
            </w:pPr>
            <w:r>
              <w:rPr>
                <w:rFonts w:ascii="Calibri" w:hAnsi="Calibri"/>
                <w:b/>
                <w:i w:val="0"/>
                <w:color w:val="183326"/>
                <w:sz w:val="18"/>
              </w:rPr>
              <w:t>Accepted units / rule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Area to treat</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Actual field area for this spray</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Acre, hectare or guntha</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Approved dose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Label-approved product amount per acre</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ml, g, L or kg per acre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Water per acre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Carrier-water volume</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Litres per acre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Pump size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Usable spray-tank capacity</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Litres</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Pack size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One purchasable pack in the same unit as dose</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ml, g, L or kg</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Pack price</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Farmer’s current price for one selected pack</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Indian rupees</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Application cost</w:t>
            </w:r>
          </w:p>
        </w:tc>
        <w:tc>
          <w:tcPr>
            <w:tcW w:type="dxa" w:w="4260"/>
            <w:tcMar>
              <w:top w:w="80" w:type="dxa"/>
              <w:start w:w="120" w:type="dxa"/>
              <w:bottom w:w="80" w:type="dxa"/>
              <w:end w:w="120" w:type="dxa"/>
            </w:tcMar>
            <w:vAlign w:val="center"/>
          </w:tcPr>
          <w:p>
            <w:pPr>
              <w:spacing w:after="0" w:line="264" w:lineRule="auto"/>
            </w:pPr>
            <w:r>
              <w:rPr>
                <w:rFonts w:ascii="Calibri" w:hAnsi="Calibri"/>
                <w:b w:val="0"/>
                <w:i w:val="0"/>
                <w:color w:val="183326"/>
                <w:sz w:val="18"/>
              </w:rPr>
              <w:t>Labour and machinery for spraying</w:t>
            </w:r>
          </w:p>
        </w:tc>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83326"/>
                <w:sz w:val="18"/>
              </w:rPr>
              <w:t>Rupees per acre</w:t>
            </w:r>
          </w:p>
        </w:tc>
      </w:tr>
    </w:tbl>
    <w:p>
      <w:pPr>
        <w:spacing w:after="20"/>
      </w:pPr>
    </w:p>
    <w:p>
      <w:pPr>
        <w:pStyle w:val="Heading1"/>
        <w:keepNext/>
      </w:pPr>
      <w:r>
        <w:t>2. Area conversion</w:t>
      </w:r>
    </w:p>
    <w:p>
      <w:pPr>
        <w:spacing w:after="120" w:line="300" w:lineRule="auto"/>
      </w:pPr>
      <w:r>
        <w:rPr>
          <w:rFonts w:ascii="Calibri" w:hAnsi="Calibri"/>
          <w:b w:val="0"/>
          <w:i w:val="0"/>
          <w:color w:val="183326"/>
          <w:sz w:val="22"/>
        </w:rPr>
        <w:t>All downstream calculations use acres as the common internal area unit.</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cantSplit/>
        </w:trPr>
        <w:tc>
          <w:tcPr>
            <w:tcW w:type="dxa" w:w="2100"/>
            <w:tcMar>
              <w:top w:w="80" w:type="dxa"/>
              <w:start w:w="120" w:type="dxa"/>
              <w:bottom w:w="80" w:type="dxa"/>
              <w:end w:w="120" w:type="dxa"/>
            </w:tcMar>
            <w:vAlign w:val="center"/>
            <w:shd w:fill="E8EEF5"/>
          </w:tcPr>
          <w:p>
            <w:pPr>
              <w:spacing w:after="0"/>
            </w:pPr>
            <w:r>
              <w:rPr>
                <w:rFonts w:ascii="Calibri" w:hAnsi="Calibri"/>
                <w:b/>
                <w:i w:val="0"/>
                <w:color w:val="183326"/>
                <w:sz w:val="18"/>
              </w:rPr>
              <w:t>Selected unit</w:t>
            </w:r>
          </w:p>
        </w:tc>
        <w:tc>
          <w:tcPr>
            <w:tcW w:type="dxa" w:w="3960"/>
            <w:tcMar>
              <w:top w:w="80" w:type="dxa"/>
              <w:start w:w="120" w:type="dxa"/>
              <w:bottom w:w="80" w:type="dxa"/>
              <w:end w:w="120" w:type="dxa"/>
            </w:tcMar>
            <w:vAlign w:val="center"/>
            <w:shd w:fill="E8EEF5"/>
          </w:tcPr>
          <w:p>
            <w:pPr>
              <w:spacing w:after="0"/>
            </w:pPr>
            <w:r>
              <w:rPr>
                <w:rFonts w:ascii="Calibri" w:hAnsi="Calibri"/>
                <w:b/>
                <w:i w:val="0"/>
                <w:color w:val="183326"/>
                <w:sz w:val="18"/>
              </w:rPr>
              <w:t>Conversion to acres</w:t>
            </w:r>
          </w:p>
        </w:tc>
        <w:tc>
          <w:tcPr>
            <w:tcW w:type="dxa" w:w="3300"/>
            <w:tcMar>
              <w:top w:w="80" w:type="dxa"/>
              <w:start w:w="120" w:type="dxa"/>
              <w:bottom w:w="80" w:type="dxa"/>
              <w:end w:w="120" w:type="dxa"/>
            </w:tcMar>
            <w:vAlign w:val="center"/>
            <w:shd w:fill="E8EEF5"/>
          </w:tcPr>
          <w:p>
            <w:pPr>
              <w:spacing w:after="0"/>
            </w:pPr>
            <w:r>
              <w:rPr>
                <w:rFonts w:ascii="Calibri" w:hAnsi="Calibri"/>
                <w:b/>
                <w:i w:val="0"/>
                <w:color w:val="183326"/>
                <w:sz w:val="18"/>
              </w:rPr>
              <w:t>Example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Acre</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183326"/>
                <w:sz w:val="18"/>
              </w:rPr>
              <w:t>Acres = entered area</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83326"/>
                <w:sz w:val="18"/>
              </w:rPr>
              <w:t>3.5 acre = 3.5 acre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Hectare</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183326"/>
                <w:sz w:val="18"/>
              </w:rPr>
              <w:t>Acres = hectares × 2.47105</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83326"/>
                <w:sz w:val="18"/>
              </w:rPr>
              <w:t>1 ha = 2.47105 acre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Guntha</w:t>
            </w:r>
          </w:p>
        </w:tc>
        <w:tc>
          <w:tcPr>
            <w:tcW w:type="dxa" w:w="3960"/>
            <w:tcMar>
              <w:top w:w="80" w:type="dxa"/>
              <w:start w:w="120" w:type="dxa"/>
              <w:bottom w:w="80" w:type="dxa"/>
              <w:end w:w="120" w:type="dxa"/>
            </w:tcMar>
            <w:vAlign w:val="center"/>
          </w:tcPr>
          <w:p>
            <w:pPr>
              <w:spacing w:after="0" w:line="264" w:lineRule="auto"/>
            </w:pPr>
            <w:r>
              <w:rPr>
                <w:rFonts w:ascii="Calibri" w:hAnsi="Calibri"/>
                <w:b w:val="0"/>
                <w:i w:val="0"/>
                <w:color w:val="183326"/>
                <w:sz w:val="18"/>
              </w:rPr>
              <w:t>Acres = guntha ÷ 40</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83326"/>
                <w:sz w:val="18"/>
              </w:rPr>
              <w:t>20 guntha = 0.5 acre</w:t>
            </w:r>
          </w:p>
        </w:tc>
      </w:tr>
    </w:tbl>
    <w:p>
      <w:pPr>
        <w:spacing w:after="20"/>
      </w:pPr>
    </w:p>
    <w:p>
      <w:pPr>
        <w:pStyle w:val="Heading1"/>
        <w:keepNext/>
      </w:pPr>
      <w:r>
        <w:t>3. Product and water quantities</w:t>
      </w:r>
    </w:p>
    <w:p>
      <w:pPr>
        <w:pStyle w:val="ListBullet"/>
        <w:spacing w:after="80" w:line="276" w:lineRule="auto"/>
      </w:pPr>
      <w:r>
        <w:rPr>
          <w:rFonts w:ascii="Calibri" w:hAnsi="Calibri"/>
          <w:b w:val="0"/>
          <w:i w:val="0"/>
          <w:color w:val="183326"/>
          <w:sz w:val="22"/>
        </w:rPr>
        <w:t>Total product = area in acres × approved dose per acre</w:t>
      </w:r>
    </w:p>
    <w:p>
      <w:pPr>
        <w:pStyle w:val="ListBullet"/>
        <w:spacing w:after="80" w:line="276" w:lineRule="auto"/>
      </w:pPr>
      <w:r>
        <w:rPr>
          <w:rFonts w:ascii="Calibri" w:hAnsi="Calibri"/>
          <w:b w:val="0"/>
          <w:i w:val="0"/>
          <w:color w:val="183326"/>
          <w:sz w:val="22"/>
        </w:rPr>
        <w:t>Total water = area in acres × water litres per acre</w:t>
      </w:r>
    </w:p>
    <w:p>
      <w:pPr>
        <w:spacing w:after="120" w:line="300" w:lineRule="auto"/>
      </w:pPr>
      <w:r>
        <w:rPr>
          <w:rFonts w:ascii="Calibri" w:hAnsi="Calibri"/>
          <w:b w:val="0"/>
          <w:i w:val="0"/>
          <w:color w:val="183326"/>
          <w:sz w:val="22"/>
        </w:rPr>
        <w:t>The product unit is preserved. A dose entered in ml/ac produces a total in ml; g/ac produces g; L/ac produces L; and kg/ac produces kg.</w:t>
      </w:r>
    </w:p>
    <w:p>
      <w:pPr>
        <w:pStyle w:val="Heading1"/>
        <w:keepNext/>
      </w:pPr>
      <w:r>
        <w:t>4. Pump-load and mixing logic</w:t>
      </w:r>
    </w:p>
    <w:p>
      <w:pPr>
        <w:spacing w:after="120" w:line="300" w:lineRule="auto"/>
      </w:pPr>
      <w:r>
        <w:rPr>
          <w:rFonts w:ascii="Calibri" w:hAnsi="Calibri"/>
          <w:b w:val="0"/>
          <w:i w:val="0"/>
          <w:color w:val="183326"/>
          <w:sz w:val="22"/>
        </w:rPr>
        <w:t>The app keeps the product concentration consistent across full and partial tanks. This is safer and more accurate than dividing the product equally by a rounded number of refills.</w:t>
      </w:r>
    </w:p>
    <w:p>
      <w:pPr>
        <w:pStyle w:val="ListNumber"/>
        <w:spacing w:after="80" w:line="276" w:lineRule="auto"/>
      </w:pPr>
      <w:r>
        <w:rPr>
          <w:rFonts w:ascii="Calibri" w:hAnsi="Calibri"/>
          <w:b w:val="0"/>
          <w:i w:val="0"/>
          <w:color w:val="183326"/>
          <w:sz w:val="22"/>
        </w:rPr>
        <w:t>Pump loads = round up(total water ÷ pump size).</w:t>
      </w:r>
    </w:p>
    <w:p>
      <w:pPr>
        <w:pStyle w:val="ListNumber"/>
        <w:spacing w:after="80" w:line="276" w:lineRule="auto"/>
      </w:pPr>
      <w:r>
        <w:rPr>
          <w:rFonts w:ascii="Calibri" w:hAnsi="Calibri"/>
          <w:b w:val="0"/>
          <w:i w:val="0"/>
          <w:color w:val="183326"/>
          <w:sz w:val="22"/>
        </w:rPr>
        <w:t>Product concentration = total product ÷ total water.</w:t>
      </w:r>
    </w:p>
    <w:p>
      <w:pPr>
        <w:pStyle w:val="ListNumber"/>
        <w:spacing w:after="80" w:line="276" w:lineRule="auto"/>
      </w:pPr>
      <w:r>
        <w:rPr>
          <w:rFonts w:ascii="Calibri" w:hAnsi="Calibri"/>
          <w:b w:val="0"/>
          <w:i w:val="0"/>
          <w:color w:val="183326"/>
          <w:sz w:val="22"/>
        </w:rPr>
        <w:t>Product in a full tank = concentration × pump size.</w:t>
      </w:r>
    </w:p>
    <w:p>
      <w:pPr>
        <w:pStyle w:val="ListNumber"/>
        <w:spacing w:after="80" w:line="276" w:lineRule="auto"/>
      </w:pPr>
      <w:r>
        <w:rPr>
          <w:rFonts w:ascii="Calibri" w:hAnsi="Calibri"/>
          <w:b w:val="0"/>
          <w:i w:val="0"/>
          <w:color w:val="183326"/>
          <w:sz w:val="22"/>
        </w:rPr>
        <w:t>Final tank water = total water − pump size × (pump loads − 1).</w:t>
      </w:r>
    </w:p>
    <w:p>
      <w:pPr>
        <w:pStyle w:val="ListNumber"/>
        <w:spacing w:after="80" w:line="276" w:lineRule="auto"/>
      </w:pPr>
      <w:r>
        <w:rPr>
          <w:rFonts w:ascii="Calibri" w:hAnsi="Calibri"/>
          <w:b w:val="0"/>
          <w:i w:val="0"/>
          <w:color w:val="183326"/>
          <w:sz w:val="22"/>
        </w:rPr>
        <w:t>Final tank product = concentration × final tank water.</w:t>
      </w:r>
    </w:p>
    <w:p>
      <w:pPr>
        <w:spacing w:after="120" w:line="300" w:lineRule="auto"/>
      </w:pPr>
      <w:r>
        <w:rPr>
          <w:rFonts w:ascii="Calibri" w:hAnsi="Calibri"/>
          <w:b/>
          <w:i w:val="0"/>
          <w:color w:val="183326"/>
          <w:sz w:val="22"/>
        </w:rPr>
        <w:t>If total water divides exactly by pump size</w:t>
      </w:r>
      <w:r>
        <w:rPr>
          <w:rFonts w:ascii="Calibri" w:hAnsi="Calibri"/>
          <w:b w:val="0"/>
          <w:i w:val="0"/>
          <w:color w:val="183326"/>
          <w:sz w:val="22"/>
        </w:rPr>
        <w:t>, the final tank is a normal full tank. If not, the last tank shows the smaller remaining water and matching product amount.</w:t>
      </w:r>
    </w:p>
    <w:p>
      <w:pPr>
        <w:pStyle w:val="Heading1"/>
        <w:keepNext/>
      </w:pPr>
      <w:r>
        <w:t>5. Pack purchase and farmer cost</w:t>
      </w:r>
    </w:p>
    <w:p>
      <w:pPr>
        <w:pStyle w:val="ListBullet"/>
        <w:spacing w:after="80" w:line="276" w:lineRule="auto"/>
      </w:pPr>
      <w:r>
        <w:rPr>
          <w:rFonts w:ascii="Calibri" w:hAnsi="Calibri"/>
          <w:b w:val="0"/>
          <w:i w:val="0"/>
          <w:color w:val="183326"/>
          <w:sz w:val="22"/>
        </w:rPr>
        <w:t>Packs to buy = round up(total product ÷ pack size).</w:t>
      </w:r>
    </w:p>
    <w:p>
      <w:pPr>
        <w:pStyle w:val="ListBullet"/>
        <w:spacing w:after="80" w:line="276" w:lineRule="auto"/>
      </w:pPr>
      <w:r>
        <w:rPr>
          <w:rFonts w:ascii="Calibri" w:hAnsi="Calibri"/>
          <w:b w:val="0"/>
          <w:i w:val="0"/>
          <w:color w:val="183326"/>
          <w:sz w:val="22"/>
        </w:rPr>
        <w:t>Pack purchase cost = packs to buy × price per pack.</w:t>
      </w:r>
    </w:p>
    <w:p>
      <w:pPr>
        <w:pStyle w:val="ListBullet"/>
        <w:spacing w:after="80" w:line="276" w:lineRule="auto"/>
      </w:pPr>
      <w:r>
        <w:rPr>
          <w:rFonts w:ascii="Calibri" w:hAnsi="Calibri"/>
          <w:b w:val="0"/>
          <w:i w:val="0"/>
          <w:color w:val="183326"/>
          <w:sz w:val="22"/>
        </w:rPr>
        <w:t>Application cost = area in acres × labour/machinery cost per acre.</w:t>
      </w:r>
    </w:p>
    <w:p>
      <w:pPr>
        <w:pStyle w:val="ListBullet"/>
        <w:spacing w:after="80" w:line="276" w:lineRule="auto"/>
      </w:pPr>
      <w:r>
        <w:rPr>
          <w:rFonts w:ascii="Calibri" w:hAnsi="Calibri"/>
          <w:b w:val="0"/>
          <w:i w:val="0"/>
          <w:color w:val="183326"/>
          <w:sz w:val="22"/>
        </w:rPr>
        <w:t>Total spray cost = pack purchase cost + application cost.</w:t>
      </w:r>
    </w:p>
    <w:p>
      <w:pPr>
        <w:spacing w:after="120" w:line="300" w:lineRule="auto"/>
      </w:pPr>
      <w:r>
        <w:rPr>
          <w:rFonts w:ascii="Calibri" w:hAnsi="Calibri"/>
          <w:b w:val="0"/>
          <w:i w:val="0"/>
          <w:color w:val="183326"/>
          <w:sz w:val="22"/>
        </w:rPr>
        <w:t>The displayed purchase cost is cash required to buy whole packs. It can be higher than the value of product consumed because the remaining product stays available for a later approved use.</w:t>
      </w:r>
    </w:p>
    <w:p>
      <w:pPr>
        <w:pStyle w:val="Heading1"/>
        <w:keepNext/>
      </w:pPr>
      <w:r>
        <w:t>6. Worked spray example</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cantSplit/>
        </w:trPr>
        <w:tc>
          <w:tcPr>
            <w:tcW w:type="dxa" w:w="2150"/>
            <w:tcMar>
              <w:top w:w="80" w:type="dxa"/>
              <w:start w:w="120" w:type="dxa"/>
              <w:bottom w:w="80" w:type="dxa"/>
              <w:end w:w="120" w:type="dxa"/>
            </w:tcMar>
            <w:vAlign w:val="center"/>
            <w:shd w:fill="E8EEF5"/>
          </w:tcPr>
          <w:p>
            <w:pPr>
              <w:spacing w:after="0"/>
            </w:pPr>
            <w:r>
              <w:rPr>
                <w:rFonts w:ascii="Calibri" w:hAnsi="Calibri"/>
                <w:b/>
                <w:i w:val="0"/>
                <w:color w:val="183326"/>
                <w:sz w:val="18"/>
              </w:rPr>
              <w:t>Step</w:t>
            </w:r>
          </w:p>
        </w:tc>
        <w:tc>
          <w:tcPr>
            <w:tcW w:type="dxa" w:w="4510"/>
            <w:tcMar>
              <w:top w:w="80" w:type="dxa"/>
              <w:start w:w="120" w:type="dxa"/>
              <w:bottom w:w="80" w:type="dxa"/>
              <w:end w:w="120" w:type="dxa"/>
            </w:tcMar>
            <w:vAlign w:val="center"/>
            <w:shd w:fill="E8EEF5"/>
          </w:tcPr>
          <w:p>
            <w:pPr>
              <w:spacing w:after="0"/>
            </w:pPr>
            <w:r>
              <w:rPr>
                <w:rFonts w:ascii="Calibri" w:hAnsi="Calibri"/>
                <w:b/>
                <w:i w:val="0"/>
                <w:color w:val="183326"/>
                <w:sz w:val="18"/>
              </w:rPr>
              <w:t>Calculation</w:t>
            </w:r>
          </w:p>
        </w:tc>
        <w:tc>
          <w:tcPr>
            <w:tcW w:type="dxa" w:w="2700"/>
            <w:tcMar>
              <w:top w:w="80" w:type="dxa"/>
              <w:start w:w="120" w:type="dxa"/>
              <w:bottom w:w="80" w:type="dxa"/>
              <w:end w:w="120" w:type="dxa"/>
            </w:tcMar>
            <w:vAlign w:val="center"/>
            <w:shd w:fill="E8EEF5"/>
          </w:tcPr>
          <w:p>
            <w:pPr>
              <w:spacing w:after="0"/>
            </w:pPr>
            <w:r>
              <w:rPr>
                <w:rFonts w:ascii="Calibri" w:hAnsi="Calibri"/>
                <w:b/>
                <w:i w:val="0"/>
                <w:color w:val="183326"/>
                <w:sz w:val="18"/>
              </w:rPr>
              <w:t>Result</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Product required</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3.5 acre × 80 ml/ac</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280 ml</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Water required</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3.5 acre × 125 L/ac</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437.5 L</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Pump loads</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Round up(437.5 ÷ 15)</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30</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Full tank mix</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(280 ÷ 437.5) × 15</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15 L + 9.6 ml</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Final tank mix</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Remaining water × concentration</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2.5 L + 1.6 ml</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Packs to buy</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Round up(280 ÷ 200)</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2 packs</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Pack purchase</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2 × ₹550</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₹1,100</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Application cost</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3.5 × ₹250</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₹875</w:t>
            </w:r>
          </w:p>
        </w:tc>
      </w:tr>
      <w:tr>
        <w:trPr>
          <w:cantSplit/>
          <w:cantSplit/>
        </w:trPr>
        <w:tc>
          <w:tcPr>
            <w:tcW w:type="dxa" w:w="2150"/>
            <w:tcMar>
              <w:top w:w="80" w:type="dxa"/>
              <w:start w:w="120" w:type="dxa"/>
              <w:bottom w:w="80" w:type="dxa"/>
              <w:end w:w="120" w:type="dxa"/>
            </w:tcMar>
            <w:vAlign w:val="center"/>
          </w:tcPr>
          <w:p>
            <w:pPr>
              <w:spacing w:after="0" w:line="264" w:lineRule="auto"/>
            </w:pPr>
            <w:r>
              <w:rPr>
                <w:rFonts w:ascii="Calibri" w:hAnsi="Calibri"/>
                <w:b w:val="0"/>
                <w:i w:val="0"/>
                <w:color w:val="183326"/>
                <w:sz w:val="18"/>
              </w:rPr>
              <w:t>Total spray cost</w:t>
            </w:r>
          </w:p>
        </w:tc>
        <w:tc>
          <w:tcPr>
            <w:tcW w:type="dxa" w:w="4510"/>
            <w:tcMar>
              <w:top w:w="80" w:type="dxa"/>
              <w:start w:w="120" w:type="dxa"/>
              <w:bottom w:w="80" w:type="dxa"/>
              <w:end w:w="120" w:type="dxa"/>
            </w:tcMar>
            <w:vAlign w:val="center"/>
          </w:tcPr>
          <w:p>
            <w:pPr>
              <w:spacing w:after="0" w:line="264" w:lineRule="auto"/>
            </w:pPr>
            <w:r>
              <w:rPr>
                <w:rFonts w:ascii="Calibri" w:hAnsi="Calibri"/>
                <w:b w:val="0"/>
                <w:i w:val="0"/>
                <w:color w:val="183326"/>
                <w:sz w:val="18"/>
              </w:rPr>
              <w:t>₹1,100 + ₹875</w:t>
            </w:r>
          </w:p>
        </w:tc>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83326"/>
                <w:sz w:val="18"/>
              </w:rPr>
              <w:t>₹1,975</w:t>
            </w:r>
          </w:p>
        </w:tc>
      </w:tr>
    </w:tbl>
    <w:p>
      <w:pPr>
        <w:spacing w:after="20"/>
      </w:pPr>
    </w:p>
    <w:p>
      <w:pPr>
        <w:pStyle w:val="Heading1"/>
        <w:keepNext/>
      </w:pPr>
      <w:r>
        <w:t>7. Catalogue prefill behavior</w:t>
      </w:r>
    </w:p>
    <w:p>
      <w:pPr>
        <w:spacing w:after="120" w:line="300" w:lineRule="auto"/>
      </w:pPr>
      <w:r>
        <w:rPr>
          <w:rFonts w:ascii="Calibri" w:hAnsi="Calibri"/>
          <w:b w:val="0"/>
          <w:i w:val="0"/>
          <w:color w:val="183326"/>
          <w:sz w:val="22"/>
        </w:rPr>
        <w:t>When the catalogue contains one clear numeric dose tied directly to acre or hectare, the app may prefill it. Hectare doses are converted to acres by dividing by 2.47105. Range doses and crop-dependent instructions are not silently averaged. The interface marks a prefilled value and asks the user to verify it.</w:t>
      </w:r>
    </w:p>
    <w:p>
      <w:pPr>
        <w:pStyle w:val="ListBullet"/>
        <w:spacing w:after="80" w:line="276" w:lineRule="auto"/>
      </w:pPr>
      <w:r>
        <w:rPr>
          <w:rFonts w:ascii="Calibri" w:hAnsi="Calibri"/>
          <w:b w:val="0"/>
          <w:i w:val="0"/>
          <w:color w:val="183326"/>
          <w:sz w:val="22"/>
        </w:rPr>
        <w:t>The printed catalogue text remains visible next to the input.</w:t>
      </w:r>
    </w:p>
    <w:p>
      <w:pPr>
        <w:pStyle w:val="ListBullet"/>
        <w:spacing w:after="80" w:line="276" w:lineRule="auto"/>
      </w:pPr>
      <w:r>
        <w:rPr>
          <w:rFonts w:ascii="Calibri" w:hAnsi="Calibri"/>
          <w:b w:val="0"/>
          <w:i w:val="0"/>
          <w:color w:val="183326"/>
          <w:sz w:val="22"/>
        </w:rPr>
        <w:t>Changing the dose manually removes the prefill indicator.</w:t>
      </w:r>
    </w:p>
    <w:p>
      <w:pPr>
        <w:pStyle w:val="ListBullet"/>
        <w:spacing w:after="80" w:line="276" w:lineRule="auto"/>
      </w:pPr>
      <w:r>
        <w:rPr>
          <w:rFonts w:ascii="Calibri" w:hAnsi="Calibri"/>
          <w:b w:val="0"/>
          <w:i w:val="0"/>
          <w:color w:val="183326"/>
          <w:sz w:val="22"/>
        </w:rPr>
        <w:t>Pack size may be seeded from the first compatible catalogue packing size, but the farmer must enter the current price.</w:t>
      </w:r>
    </w:p>
    <w:p>
      <w:pPr>
        <w:pStyle w:val="ListBullet"/>
        <w:spacing w:after="80" w:line="276" w:lineRule="auto"/>
      </w:pPr>
      <w:r>
        <w:rPr>
          <w:rFonts w:ascii="Calibri" w:hAnsi="Calibri"/>
          <w:b w:val="0"/>
          <w:i w:val="0"/>
          <w:color w:val="183326"/>
          <w:sz w:val="22"/>
        </w:rPr>
        <w:t>No price is inferred by AI and no product dose is invented.</w:t>
      </w:r>
    </w:p>
    <w:p>
      <w:pPr>
        <w:pStyle w:val="Heading1"/>
        <w:keepNext/>
      </w:pPr>
      <w:r>
        <w:t>8. Farm cost planner</w:t>
      </w:r>
    </w:p>
    <w:p>
      <w:pPr>
        <w:spacing w:after="120" w:line="300" w:lineRule="auto"/>
      </w:pPr>
      <w:r>
        <w:rPr>
          <w:rFonts w:ascii="Calibri" w:hAnsi="Calibri"/>
          <w:b w:val="0"/>
          <w:i w:val="0"/>
          <w:color w:val="183326"/>
          <w:sz w:val="22"/>
        </w:rPr>
        <w:t>The separate farm cost planner estimates the combined field-operation cost. The fertilizer calculator has been removed because Crop Life Science does not offer a general fertilizer service in this tool.</w:t>
      </w:r>
    </w:p>
    <w:p>
      <w:pPr>
        <w:pStyle w:val="ListBullet"/>
        <w:spacing w:after="80" w:line="276" w:lineRule="auto"/>
      </w:pPr>
      <w:r>
        <w:rPr>
          <w:rFonts w:ascii="Calibri" w:hAnsi="Calibri"/>
          <w:b w:val="0"/>
          <w:i w:val="0"/>
          <w:color w:val="183326"/>
          <w:sz w:val="22"/>
        </w:rPr>
        <w:t>Per-acre field cost = seed/planting + irrigation + crop protection + labour/machinery + harvest/transport.</w:t>
      </w:r>
    </w:p>
    <w:p>
      <w:pPr>
        <w:pStyle w:val="ListBullet"/>
        <w:spacing w:after="80" w:line="276" w:lineRule="auto"/>
      </w:pPr>
      <w:r>
        <w:rPr>
          <w:rFonts w:ascii="Calibri" w:hAnsi="Calibri"/>
          <w:b w:val="0"/>
          <w:i w:val="0"/>
          <w:color w:val="183326"/>
          <w:sz w:val="22"/>
        </w:rPr>
        <w:t>Estimated total field cost = per-acre field cost × area in acres.</w:t>
      </w:r>
    </w:p>
    <w:p>
      <w:pPr>
        <w:spacing w:after="120" w:line="300" w:lineRule="auto"/>
      </w:pPr>
      <w:r>
        <w:rPr>
          <w:rFonts w:ascii="Calibri" w:hAnsi="Calibri"/>
          <w:b w:val="0"/>
          <w:i w:val="0"/>
          <w:color w:val="183326"/>
          <w:sz w:val="22"/>
        </w:rPr>
        <w:t>These are farmer-entered estimates, not quotations. Market price, labour availability, crop stage and local practice can change the actual cost.</w:t>
      </w:r>
    </w:p>
    <w:p>
      <w:pPr>
        <w:pStyle w:val="Heading1"/>
        <w:keepNext/>
      </w:pPr>
      <w:r>
        <w:t>9. Operational checks before use</w:t>
      </w:r>
    </w:p>
    <w:p>
      <w:pPr>
        <w:pStyle w:val="ListBullet"/>
        <w:spacing w:after="80" w:line="276" w:lineRule="auto"/>
      </w:pPr>
      <w:r>
        <w:rPr>
          <w:rFonts w:ascii="Calibri" w:hAnsi="Calibri"/>
          <w:b w:val="0"/>
          <w:i w:val="0"/>
          <w:color w:val="183326"/>
          <w:sz w:val="22"/>
        </w:rPr>
        <w:t>Confirm the exact crop and target problem on the approved product label.</w:t>
      </w:r>
    </w:p>
    <w:p>
      <w:pPr>
        <w:pStyle w:val="ListBullet"/>
        <w:spacing w:after="80" w:line="276" w:lineRule="auto"/>
      </w:pPr>
      <w:r>
        <w:rPr>
          <w:rFonts w:ascii="Calibri" w:hAnsi="Calibri"/>
          <w:b w:val="0"/>
          <w:i w:val="0"/>
          <w:color w:val="183326"/>
          <w:sz w:val="22"/>
        </w:rPr>
        <w:t>Confirm the dose unit: ml, g, L or kg per acre.</w:t>
      </w:r>
    </w:p>
    <w:p>
      <w:pPr>
        <w:pStyle w:val="ListBullet"/>
        <w:spacing w:after="80" w:line="276" w:lineRule="auto"/>
      </w:pPr>
      <w:r>
        <w:rPr>
          <w:rFonts w:ascii="Calibri" w:hAnsi="Calibri"/>
          <w:b w:val="0"/>
          <w:i w:val="0"/>
          <w:color w:val="183326"/>
          <w:sz w:val="22"/>
        </w:rPr>
        <w:t>Use the field’s calibrated water volume rather than a generic default where available.</w:t>
      </w:r>
    </w:p>
    <w:p>
      <w:pPr>
        <w:pStyle w:val="ListBullet"/>
        <w:spacing w:after="80" w:line="276" w:lineRule="auto"/>
      </w:pPr>
      <w:r>
        <w:rPr>
          <w:rFonts w:ascii="Calibri" w:hAnsi="Calibri"/>
          <w:b w:val="0"/>
          <w:i w:val="0"/>
          <w:color w:val="183326"/>
          <w:sz w:val="22"/>
        </w:rPr>
        <w:t>Confirm the pump’s usable capacity and recalibrate worn nozzles.</w:t>
      </w:r>
    </w:p>
    <w:p>
      <w:pPr>
        <w:pStyle w:val="ListBullet"/>
        <w:spacing w:after="80" w:line="276" w:lineRule="auto"/>
      </w:pPr>
      <w:r>
        <w:rPr>
          <w:rFonts w:ascii="Calibri" w:hAnsi="Calibri"/>
          <w:b w:val="0"/>
          <w:i w:val="0"/>
          <w:color w:val="183326"/>
          <w:sz w:val="22"/>
        </w:rPr>
        <w:t>Check live weather guidance; avoid rain risk, strong wind and unsafe heat.</w:t>
      </w:r>
    </w:p>
    <w:p>
      <w:pPr>
        <w:pStyle w:val="ListBullet"/>
        <w:spacing w:after="80" w:line="276" w:lineRule="auto"/>
      </w:pPr>
      <w:r>
        <w:rPr>
          <w:rFonts w:ascii="Calibri" w:hAnsi="Calibri"/>
          <w:b w:val="0"/>
          <w:i w:val="0"/>
          <w:color w:val="183326"/>
          <w:sz w:val="22"/>
        </w:rPr>
        <w:t>Wear label-required personal protective equipment and follow re-entry guidance.</w:t>
      </w:r>
    </w:p>
    <w:p>
      <w:pPr>
        <w:pStyle w:val="ListBullet"/>
        <w:spacing w:after="80" w:line="276" w:lineRule="auto"/>
      </w:pPr>
      <w:r>
        <w:rPr>
          <w:rFonts w:ascii="Calibri" w:hAnsi="Calibri"/>
          <w:b w:val="0"/>
          <w:i w:val="0"/>
          <w:color w:val="183326"/>
          <w:sz w:val="22"/>
        </w:rPr>
        <w:t>Treat the calculated amount as a plan; a qualified local expert and approved label remain authoritative.</w:t>
      </w:r>
    </w:p>
    <w:p>
      <w:pPr>
        <w:pStyle w:val="Heading1"/>
        <w:keepNext/>
      </w:pPr>
      <w:r>
        <w:t>10. Validation test cases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cantSplit/>
        </w:trPr>
        <w:tc>
          <w:tcPr>
            <w:tcW w:type="dxa" w:w="2100"/>
            <w:tcMar>
              <w:top w:w="80" w:type="dxa"/>
              <w:start w:w="120" w:type="dxa"/>
              <w:bottom w:w="80" w:type="dxa"/>
              <w:end w:w="120" w:type="dxa"/>
            </w:tcMar>
            <w:vAlign w:val="center"/>
            <w:shd w:fill="E8EEF5"/>
          </w:tcPr>
          <w:p>
            <w:pPr>
              <w:spacing w:after="0"/>
            </w:pPr>
            <w:r>
              <w:rPr>
                <w:rFonts w:ascii="Calibri" w:hAnsi="Calibri"/>
                <w:b/>
                <w:i w:val="0"/>
                <w:color w:val="183326"/>
                <w:sz w:val="18"/>
              </w:rPr>
              <w:t>Case</w:t>
            </w:r>
          </w:p>
        </w:tc>
        <w:tc>
          <w:tcPr>
            <w:tcW w:type="dxa" w:w="4020"/>
            <w:tcMar>
              <w:top w:w="80" w:type="dxa"/>
              <w:start w:w="120" w:type="dxa"/>
              <w:bottom w:w="80" w:type="dxa"/>
              <w:end w:w="120" w:type="dxa"/>
            </w:tcMar>
            <w:vAlign w:val="center"/>
            <w:shd w:fill="E8EEF5"/>
          </w:tcPr>
          <w:p>
            <w:pPr>
              <w:spacing w:after="0"/>
            </w:pPr>
            <w:r>
              <w:rPr>
                <w:rFonts w:ascii="Calibri" w:hAnsi="Calibri"/>
                <w:b/>
                <w:i w:val="0"/>
                <w:color w:val="183326"/>
                <w:sz w:val="18"/>
              </w:rPr>
              <w:t>Expected check</w:t>
            </w:r>
          </w:p>
        </w:tc>
        <w:tc>
          <w:tcPr>
            <w:tcW w:type="dxa" w:w="3240"/>
            <w:tcMar>
              <w:top w:w="80" w:type="dxa"/>
              <w:start w:w="120" w:type="dxa"/>
              <w:bottom w:w="80" w:type="dxa"/>
              <w:end w:w="120" w:type="dxa"/>
            </w:tcMar>
            <w:vAlign w:val="center"/>
            <w:shd w:fill="E8EEF5"/>
          </w:tcPr>
          <w:p>
            <w:pPr>
              <w:spacing w:after="0"/>
            </w:pPr>
            <w:r>
              <w:rPr>
                <w:rFonts w:ascii="Calibri" w:hAnsi="Calibri"/>
                <w:b/>
                <w:i w:val="0"/>
                <w:color w:val="183326"/>
                <w:sz w:val="18"/>
              </w:rPr>
              <w:t>Pass condition</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Zero dose</w:t>
            </w:r>
          </w:p>
        </w:tc>
        <w:tc>
          <w:tcPr>
            <w:tcW w:type="dxa" w:w="4020"/>
            <w:tcMar>
              <w:top w:w="80" w:type="dxa"/>
              <w:start w:w="120" w:type="dxa"/>
              <w:bottom w:w="80" w:type="dxa"/>
              <w:end w:w="120" w:type="dxa"/>
            </w:tcMar>
            <w:vAlign w:val="center"/>
          </w:tcPr>
          <w:p>
            <w:pPr>
              <w:spacing w:after="0" w:line="264" w:lineRule="auto"/>
            </w:pPr>
            <w:r>
              <w:rPr>
                <w:rFonts w:ascii="Calibri" w:hAnsi="Calibri"/>
                <w:b w:val="0"/>
                <w:i w:val="0"/>
                <w:color w:val="183326"/>
                <w:sz w:val="18"/>
              </w:rPr>
              <w:t>No product should be implied</w:t>
            </w:r>
          </w:p>
        </w:tc>
        <w:tc>
          <w:tcPr>
            <w:tcW w:type="dxa" w:w="3240"/>
            <w:tcMar>
              <w:top w:w="80" w:type="dxa"/>
              <w:start w:w="120" w:type="dxa"/>
              <w:bottom w:w="80" w:type="dxa"/>
              <w:end w:w="120" w:type="dxa"/>
            </w:tcMar>
            <w:vAlign w:val="center"/>
          </w:tcPr>
          <w:p>
            <w:pPr>
              <w:spacing w:after="0" w:line="264" w:lineRule="auto"/>
            </w:pPr>
            <w:r>
              <w:rPr>
                <w:rFonts w:ascii="Calibri" w:hAnsi="Calibri"/>
                <w:b w:val="0"/>
                <w:i w:val="0"/>
                <w:color w:val="183326"/>
                <w:sz w:val="18"/>
              </w:rPr>
              <w:t>Product required = 0 and warning visible</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Exact tank division</w:t>
            </w:r>
          </w:p>
        </w:tc>
        <w:tc>
          <w:tcPr>
            <w:tcW w:type="dxa" w:w="4020"/>
            <w:tcMar>
              <w:top w:w="80" w:type="dxa"/>
              <w:start w:w="120" w:type="dxa"/>
              <w:bottom w:w="80" w:type="dxa"/>
              <w:end w:w="120" w:type="dxa"/>
            </w:tcMar>
            <w:vAlign w:val="center"/>
          </w:tcPr>
          <w:p>
            <w:pPr>
              <w:spacing w:after="0" w:line="264" w:lineRule="auto"/>
            </w:pPr>
            <w:r>
              <w:rPr>
                <w:rFonts w:ascii="Calibri" w:hAnsi="Calibri"/>
                <w:b w:val="0"/>
                <w:i w:val="0"/>
                <w:color w:val="183326"/>
                <w:sz w:val="18"/>
              </w:rPr>
              <w:t>No under/over-mixing</w:t>
            </w:r>
          </w:p>
        </w:tc>
        <w:tc>
          <w:tcPr>
            <w:tcW w:type="dxa" w:w="3240"/>
            <w:tcMar>
              <w:top w:w="80" w:type="dxa"/>
              <w:start w:w="120" w:type="dxa"/>
              <w:bottom w:w="80" w:type="dxa"/>
              <w:end w:w="120" w:type="dxa"/>
            </w:tcMar>
            <w:vAlign w:val="center"/>
          </w:tcPr>
          <w:p>
            <w:pPr>
              <w:spacing w:after="0" w:line="264" w:lineRule="auto"/>
            </w:pPr>
            <w:r>
              <w:rPr>
                <w:rFonts w:ascii="Calibri" w:hAnsi="Calibri"/>
                <w:b w:val="0"/>
                <w:i w:val="0"/>
                <w:color w:val="183326"/>
                <w:sz w:val="18"/>
              </w:rPr>
              <w:t>Final tank equals one full tank</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Partial final tank</w:t>
            </w:r>
          </w:p>
        </w:tc>
        <w:tc>
          <w:tcPr>
            <w:tcW w:type="dxa" w:w="4020"/>
            <w:tcMar>
              <w:top w:w="80" w:type="dxa"/>
              <w:start w:w="120" w:type="dxa"/>
              <w:bottom w:w="80" w:type="dxa"/>
              <w:end w:w="120" w:type="dxa"/>
            </w:tcMar>
            <w:vAlign w:val="center"/>
          </w:tcPr>
          <w:p>
            <w:pPr>
              <w:spacing w:after="0" w:line="264" w:lineRule="auto"/>
            </w:pPr>
            <w:r>
              <w:rPr>
                <w:rFonts w:ascii="Calibri" w:hAnsi="Calibri"/>
                <w:b w:val="0"/>
                <w:i w:val="0"/>
                <w:color w:val="183326"/>
                <w:sz w:val="18"/>
              </w:rPr>
              <w:t>Concentration remains constant</w:t>
            </w:r>
          </w:p>
        </w:tc>
        <w:tc>
          <w:tcPr>
            <w:tcW w:type="dxa" w:w="3240"/>
            <w:tcMar>
              <w:top w:w="80" w:type="dxa"/>
              <w:start w:w="120" w:type="dxa"/>
              <w:bottom w:w="80" w:type="dxa"/>
              <w:end w:w="120" w:type="dxa"/>
            </w:tcMar>
            <w:vAlign w:val="center"/>
          </w:tcPr>
          <w:p>
            <w:pPr>
              <w:spacing w:after="0" w:line="264" w:lineRule="auto"/>
            </w:pPr>
            <w:r>
              <w:rPr>
                <w:rFonts w:ascii="Calibri" w:hAnsi="Calibri"/>
                <w:b w:val="0"/>
                <w:i w:val="0"/>
                <w:color w:val="183326"/>
                <w:sz w:val="18"/>
              </w:rPr>
              <w:t>Final product scales to remaining water</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Small pack</w:t>
            </w:r>
          </w:p>
        </w:tc>
        <w:tc>
          <w:tcPr>
            <w:tcW w:type="dxa" w:w="4020"/>
            <w:tcMar>
              <w:top w:w="80" w:type="dxa"/>
              <w:start w:w="120" w:type="dxa"/>
              <w:bottom w:w="80" w:type="dxa"/>
              <w:end w:w="120" w:type="dxa"/>
            </w:tcMar>
            <w:vAlign w:val="center"/>
          </w:tcPr>
          <w:p>
            <w:pPr>
              <w:spacing w:after="0" w:line="264" w:lineRule="auto"/>
            </w:pPr>
            <w:r>
              <w:rPr>
                <w:rFonts w:ascii="Calibri" w:hAnsi="Calibri"/>
                <w:b w:val="0"/>
                <w:i w:val="0"/>
                <w:color w:val="183326"/>
                <w:sz w:val="18"/>
              </w:rPr>
              <w:t>Whole-pack cash cost</w:t>
            </w:r>
          </w:p>
        </w:tc>
        <w:tc>
          <w:tcPr>
            <w:tcW w:type="dxa" w:w="3240"/>
            <w:tcMar>
              <w:top w:w="80" w:type="dxa"/>
              <w:start w:w="120" w:type="dxa"/>
              <w:bottom w:w="80" w:type="dxa"/>
              <w:end w:w="120" w:type="dxa"/>
            </w:tcMar>
            <w:vAlign w:val="center"/>
          </w:tcPr>
          <w:p>
            <w:pPr>
              <w:spacing w:after="0" w:line="264" w:lineRule="auto"/>
            </w:pPr>
            <w:r>
              <w:rPr>
                <w:rFonts w:ascii="Calibri" w:hAnsi="Calibri"/>
                <w:b w:val="0"/>
                <w:i w:val="0"/>
                <w:color w:val="183326"/>
                <w:sz w:val="18"/>
              </w:rPr>
              <w:t>Packs are rounded upward</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Hectare / guntha</w:t>
            </w:r>
          </w:p>
        </w:tc>
        <w:tc>
          <w:tcPr>
            <w:tcW w:type="dxa" w:w="4020"/>
            <w:tcMar>
              <w:top w:w="80" w:type="dxa"/>
              <w:start w:w="120" w:type="dxa"/>
              <w:bottom w:w="80" w:type="dxa"/>
              <w:end w:w="120" w:type="dxa"/>
            </w:tcMar>
            <w:vAlign w:val="center"/>
          </w:tcPr>
          <w:p>
            <w:pPr>
              <w:spacing w:after="0" w:line="264" w:lineRule="auto"/>
            </w:pPr>
            <w:r>
              <w:rPr>
                <w:rFonts w:ascii="Calibri" w:hAnsi="Calibri"/>
                <w:b w:val="0"/>
                <w:i w:val="0"/>
                <w:color w:val="183326"/>
                <w:sz w:val="18"/>
              </w:rPr>
              <w:t>Common internal area</w:t>
            </w:r>
          </w:p>
        </w:tc>
        <w:tc>
          <w:tcPr>
            <w:tcW w:type="dxa" w:w="3240"/>
            <w:tcMar>
              <w:top w:w="80" w:type="dxa"/>
              <w:start w:w="120" w:type="dxa"/>
              <w:bottom w:w="80" w:type="dxa"/>
              <w:end w:w="120" w:type="dxa"/>
            </w:tcMar>
            <w:vAlign w:val="center"/>
          </w:tcPr>
          <w:p>
            <w:pPr>
              <w:spacing w:after="0" w:line="264" w:lineRule="auto"/>
            </w:pPr>
            <w:r>
              <w:rPr>
                <w:rFonts w:ascii="Calibri" w:hAnsi="Calibri"/>
                <w:b w:val="0"/>
                <w:i w:val="0"/>
                <w:color w:val="183326"/>
                <w:sz w:val="18"/>
              </w:rPr>
              <w:t>Converted acres drive all totals</w:t>
            </w:r>
          </w:p>
        </w:tc>
      </w:tr>
      <w:tr>
        <w:trPr>
          <w:cantSplit/>
          <w:cantSplit/>
        </w:trP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83326"/>
                <w:sz w:val="18"/>
              </w:rPr>
              <w:t>Catalogue range dose</w:t>
            </w:r>
          </w:p>
        </w:tc>
        <w:tc>
          <w:tcPr>
            <w:tcW w:type="dxa" w:w="4020"/>
            <w:tcMar>
              <w:top w:w="80" w:type="dxa"/>
              <w:start w:w="120" w:type="dxa"/>
              <w:bottom w:w="80" w:type="dxa"/>
              <w:end w:w="120" w:type="dxa"/>
            </w:tcMar>
            <w:vAlign w:val="center"/>
          </w:tcPr>
          <w:p>
            <w:pPr>
              <w:spacing w:after="0" w:line="264" w:lineRule="auto"/>
            </w:pPr>
            <w:r>
              <w:rPr>
                <w:rFonts w:ascii="Calibri" w:hAnsi="Calibri"/>
                <w:b w:val="0"/>
                <w:i w:val="0"/>
                <w:color w:val="183326"/>
                <w:sz w:val="18"/>
              </w:rPr>
              <w:t>No silent midpoint</w:t>
            </w:r>
          </w:p>
        </w:tc>
        <w:tc>
          <w:tcPr>
            <w:tcW w:type="dxa" w:w="3240"/>
            <w:tcMar>
              <w:top w:w="80" w:type="dxa"/>
              <w:start w:w="120" w:type="dxa"/>
              <w:bottom w:w="80" w:type="dxa"/>
              <w:end w:w="120" w:type="dxa"/>
            </w:tcMar>
            <w:vAlign w:val="center"/>
          </w:tcPr>
          <w:p>
            <w:pPr>
              <w:spacing w:after="0" w:line="264" w:lineRule="auto"/>
            </w:pPr>
            <w:r>
              <w:rPr>
                <w:rFonts w:ascii="Calibri" w:hAnsi="Calibri"/>
                <w:b w:val="0"/>
                <w:i w:val="0"/>
                <w:color w:val="183326"/>
                <w:sz w:val="18"/>
              </w:rPr>
              <w:t>User must confirm approved dose</w:t>
            </w:r>
          </w:p>
        </w:tc>
      </w:tr>
    </w:tbl>
    <w:p>
      <w:pPr>
        <w:spacing w:after="20"/>
      </w:pPr>
    </w:p>
    <w:p>
      <w:pPr>
        <w:pStyle w:val="Heading1"/>
        <w:keepNext/>
      </w:pPr>
      <w:r>
        <w:t>11. Governance and change control</w:t>
      </w:r>
    </w:p>
    <w:p>
      <w:pPr>
        <w:spacing w:after="120" w:line="300" w:lineRule="auto"/>
      </w:pPr>
      <w:r>
        <w:rPr>
          <w:rFonts w:ascii="Calibri" w:hAnsi="Calibri"/>
          <w:b w:val="0"/>
          <w:i w:val="0"/>
          <w:color w:val="183326"/>
          <w:sz w:val="22"/>
        </w:rPr>
        <w:t>Any formula, unit conversion, catalogue parsing or cost-field change should update both the application and this guide in the same release. Product label data remains governed by the CLSL catalogue and the approval workflow in the product database.</w:t>
      </w:r>
    </w:p>
    <w:p>
      <w:pPr>
        <w:spacing w:before="280" w:after="0"/>
        <w:jc w:val="center"/>
      </w:pPr>
    </w:p>
    <w:tbl>
      <w:tblPr>
        <w:tblW w:type="auto" w:w="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183326"/>
          </w:tcPr>
          <w:p>
            <w:pPr>
              <w:jc w:val="center"/>
            </w:pPr>
            <w:r>
              <w:rPr>
                <w:rFonts w:ascii="Calibri" w:hAnsi="Calibri"/>
                <w:b/>
                <w:i w:val="0"/>
                <w:color w:val="FFFFFF"/>
                <w:sz w:val="20"/>
              </w:rPr>
              <w:t>Crop Life AI  •  Practical crop protection support, grounded in the CLSL catalogue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Pr>
        <w:p>
          <w:r>
            <w:rPr>
              <w:rFonts w:ascii="Calibri" w:hAnsi="Calibri"/>
              <w:b w:val="0"/>
              <w:i w:val="0"/>
              <w:color w:val="66776D"/>
              <w:sz w:val="16"/>
            </w:rPr>
            <w:t>Crop Life Science Limited  •  Spray Calculator Guide  •  Internal pilot</w:t>
          </w:r>
        </w:p>
      </w:tc>
      <w:tc>
        <w:tcPr>
          <w:tcW w:type="dxa" w:w="4680"/>
        </w:tcPr>
        <w:p>
          <w:pPr>
            <w:jc w:val="right"/>
          </w:pPr>
          <w:r>
            <w:rPr>
              <w:rFonts w:ascii="Calibri" w:hAnsi="Calibri"/>
              <w:b w:val="0"/>
              <w:i w:val="0"/>
              <w:color w:val="66776D"/>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76D"/>
        <w:sz w:val="16"/>
      </w:rPr>
      <w:t>CROP LIFE AI  |  OPERATIONAL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33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32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