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2e"/>
          <w:sz w:val="32"/>
          <w:szCs w:val="32"/>
        </w:rPr>
        <w:t xml:space="preserve">AI-Assisted E-commerce Return Analysis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Project Closure Document | Business Requirements | Data Dictionary</w:t>
      </w:r>
    </w:p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1. Business Problem &amp; Objectives</w:t>
      </w:r>
    </w:p>
    <w:p>
      <w:pPr>
        <w:spacing w:after="60"/>
      </w:pPr>
      <w:r>
        <w:rPr>
          <w:sz w:val="17"/>
          <w:szCs w:val="17"/>
        </w:rPr>
        <w:t xml:space="preserve">Business Problem: The e-commerce operation carries a 24.03% order return rate, eroding ~18% of Net Sales through refunds (₹44,07,029 against ₹2,14,48,492 Net Sales). Return drivers were not quantified or prioritized, blocking targeted intervention.</w:t>
      </w:r>
    </w:p>
    <w:p>
      <w:pPr>
        <w:spacing w:after="60"/>
      </w:pPr>
      <w:r>
        <w:rPr>
          <w:sz w:val="17"/>
          <w:szCs w:val="17"/>
        </w:rPr>
        <w:t xml:space="preserve">Objectives: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Build a governed semantic model of order/return data to enable repeatable KPI reporting.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Quantify return volume, rate, and financial impact by reason, category, and channel.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Identify the top return problems and likely root-cause areas (Product, Listing, Packaging, Logistics, Customer).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Deliver prioritized, measurable recommendations for stakeholders.</w:t>
      </w:r>
    </w:p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2. Data &amp; Model Overview</w:t>
      </w:r>
    </w:p>
    <w:p>
      <w:pPr>
        <w:spacing w:after="60"/>
      </w:pPr>
      <w:r>
        <w:rPr>
          <w:sz w:val="17"/>
          <w:szCs w:val="17"/>
        </w:rPr>
        <w:t xml:space="preserve">Star-schema semantic model built in Power BI: one denormalized fact table plus six dimension tables, connected via the Power BI Modeling MCP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6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33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Grain</w:t>
            </w:r>
          </w:p>
        </w:tc>
        <w:tc>
          <w:tcPr>
            <w:tcW w:type="dxa" w:w="36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row per order line item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Central fact table — orders, returns, pricing, dates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Dim_Product / Dim_Customer</w:t>
            </w:r>
          </w:p>
        </w:tc>
        <w:tc>
          <w:tcPr>
            <w:tcW w:type="dxa" w:w="33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row per product / customer</w:t>
            </w:r>
          </w:p>
        </w:tc>
        <w:tc>
          <w:tcPr>
            <w:tcW w:type="dxa" w:w="36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Descriptive attributes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Dim_Return_Reason / Dim_Channel / Dim_Payment_Method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row per category value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Lookup dimensions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Dim_Date</w:t>
            </w:r>
          </w:p>
        </w:tc>
        <w:tc>
          <w:tcPr>
            <w:tcW w:type="dxa" w:w="33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row per calendar date</w:t>
            </w:r>
          </w:p>
        </w:tc>
        <w:tc>
          <w:tcPr>
            <w:tcW w:type="dxa" w:w="36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Time intelligence</w:t>
            </w:r>
          </w:p>
        </w:tc>
      </w:tr>
    </w:tbl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3. Data Dictionary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7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2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47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Definition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Order_ID / Order_Line_ID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Order and order-line identifiers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Return_Flag</w:t>
            </w:r>
          </w:p>
        </w:tc>
        <w:tc>
          <w:tcPr>
            <w:tcW w:type="dxa" w:w="2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Yes/No — whether the line was returned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Return_Reason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Stated reason for return (8 categories)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Return_Quantity</w:t>
            </w:r>
          </w:p>
        </w:tc>
        <w:tc>
          <w:tcPr>
            <w:tcW w:type="dxa" w:w="2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Units returned on the line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Refund_Deduction_Pct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% deducted from refund (restocking/handling fee)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Category / Sales_Channel</w:t>
            </w:r>
          </w:p>
        </w:tc>
        <w:tc>
          <w:tcPr>
            <w:tcW w:type="dxa" w:w="2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Fact_Orders</w:t>
            </w:r>
          </w:p>
        </w:tc>
        <w:tc>
          <w:tcPr>
            <w:tcW w:type="dxa" w:w="47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Product category and channel of sale</w:t>
            </w:r>
          </w:p>
        </w:tc>
      </w:tr>
    </w:tbl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4. Key KPIs &amp;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000"/>
      </w:tblGrid>
      <w:tr>
        <w:trPr>
          <w:tblHeader/>
        </w:trPr>
        <w:tc>
          <w:tcPr>
            <w:tcW w:type="dxa" w:w="51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50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5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Total Orders</w:t>
            </w:r>
          </w:p>
        </w:tc>
        <w:tc>
          <w:tcPr>
            <w:tcW w:type="dxa" w:w="5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3,100</w:t>
            </w:r>
          </w:p>
        </w:tc>
      </w:tr>
      <w:tr>
        <w:tc>
          <w:tcPr>
            <w:tcW w:type="dxa" w:w="51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Returned Orders</w:t>
            </w:r>
          </w:p>
        </w:tc>
        <w:tc>
          <w:tcPr>
            <w:tcW w:type="dxa" w:w="50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745</w:t>
            </w:r>
          </w:p>
        </w:tc>
      </w:tr>
      <w:tr>
        <w:tc>
          <w:tcPr>
            <w:tcW w:type="dxa" w:w="5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 Rate %</w:t>
            </w:r>
          </w:p>
        </w:tc>
        <w:tc>
          <w:tcPr>
            <w:tcW w:type="dxa" w:w="5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24.03%</w:t>
            </w:r>
          </w:p>
        </w:tc>
      </w:tr>
      <w:tr>
        <w:tc>
          <w:tcPr>
            <w:tcW w:type="dxa" w:w="51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Returned Units</w:t>
            </w:r>
          </w:p>
        </w:tc>
        <w:tc>
          <w:tcPr>
            <w:tcW w:type="dxa" w:w="50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1,113</w:t>
            </w:r>
          </w:p>
        </w:tc>
      </w:tr>
      <w:tr>
        <w:tc>
          <w:tcPr>
            <w:tcW w:type="dxa" w:w="5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Refund Amount</w:t>
            </w:r>
          </w:p>
        </w:tc>
        <w:tc>
          <w:tcPr>
            <w:tcW w:type="dxa" w:w="5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₹44,07,029</w:t>
            </w:r>
          </w:p>
        </w:tc>
      </w:tr>
      <w:tr>
        <w:tc>
          <w:tcPr>
            <w:tcW w:type="dxa" w:w="51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Net Sales</w:t>
            </w:r>
          </w:p>
        </w:tc>
        <w:tc>
          <w:tcPr>
            <w:tcW w:type="dxa" w:w="50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₹2,14,48,492</w:t>
            </w:r>
          </w:p>
        </w:tc>
      </w:tr>
    </w:tbl>
    <w:p>
      <w:pPr>
        <w:spacing w:after="80" w:before="40"/>
        <w:jc w:val="center"/>
      </w:pPr>
      <w:r>
        <w:drawing>
          <wp:inline distT="0" distB="0" distL="0" distR="0">
            <wp:extent cx="4000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drawing>
          <wp:inline distT="0" distB="0" distL="0" distR="0">
            <wp:extent cx="4000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5. Top 3 Return Problems &amp;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32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Problem</w:t>
            </w:r>
          </w:p>
        </w:tc>
        <w:tc>
          <w:tcPr>
            <w:tcW w:type="dxa" w:w="37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  <w:tc>
          <w:tcPr>
            <w:tcW w:type="dxa" w:w="32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Root Cause (hypothesis)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Product Not As Expected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228 units, ₹7,94,928 — spread across all categories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Listing (PDP description/images) — unproven</w:t>
            </w:r>
          </w:p>
        </w:tc>
      </w:tr>
      <w:tr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Wrong Size</w:t>
            </w:r>
          </w:p>
        </w:tc>
        <w:tc>
          <w:tcPr>
            <w:tcW w:type="dxa" w:w="37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217 units, ₹5,87,415 — 88% Fashion</w:t>
            </w:r>
          </w:p>
        </w:tc>
        <w:tc>
          <w:tcPr>
            <w:tcW w:type="dxa" w:w="32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Listing (size chart/fit guide) — unproven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Damaged Product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184 units, ₹9,35,685 (highest ₹) — 76% Electronics + Home &amp; Kitchen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Packaging/Logistics — unproven</w:t>
            </w:r>
          </w:p>
        </w:tc>
      </w:tr>
    </w:tbl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Note: All figures above are directly measured facts from the model. Root-cause labels are pattern-based hypotheses from category concentration — the model does not contain PDP-content, size-chart-version, or carrier/packaging data required to confirm causation.</w:t>
      </w:r>
    </w:p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6. Recommendations &amp; Success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00"/>
        <w:gridCol w:w="3000"/>
      </w:tblGrid>
      <w:tr>
        <w:trPr>
          <w:tblHeader/>
        </w:trPr>
        <w:tc>
          <w:tcPr>
            <w:tcW w:type="dxa" w:w="16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tcW w:type="dxa" w:w="55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Recommended Action</w:t>
            </w:r>
          </w:p>
        </w:tc>
        <w:tc>
          <w:tcPr>
            <w:tcW w:type="dxa" w:w="30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Success KPI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Audit &amp; rewrite descriptions/images for top 10 SKUs driving 'Product Not As Expected'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-15% returned units for this reason next quarter</w:t>
            </w:r>
          </w:p>
        </w:tc>
      </w:tr>
      <w:tr>
        <w:tc>
          <w:tcPr>
            <w:tcW w:type="dxa" w:w="16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Fashion size chart + add fit-guide tool</w:t>
            </w:r>
          </w:p>
        </w:tc>
        <w:tc>
          <w:tcPr>
            <w:tcW w:type="dxa" w:w="30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Fashion return rate 26.1% -&gt; ~18% in 2 quarters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Upgrade protective packaging + audit courier handling (Electronics, H&amp;K)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-20% Damaged Product refund value next quarter</w:t>
            </w:r>
          </w:p>
        </w:tc>
      </w:tr>
    </w:tbl>
    <w:p>
      <w:pPr>
        <w:pStyle w:val="Heading1"/>
        <w:pBdr>
          <w:bottom w:val="single" w:color="1a1a2e" w:sz="4" w:space="2"/>
        </w:pBdr>
        <w:spacing w:after="60" w:before="140"/>
      </w:pPr>
      <w:r>
        <w:rPr>
          <w:b/>
          <w:bCs/>
          <w:color w:val="1a1a2e"/>
          <w:sz w:val="22"/>
          <w:szCs w:val="22"/>
        </w:rPr>
        <w:t xml:space="preserve">7. Project Closure Summary &amp; Next Steps</w:t>
      </w:r>
    </w:p>
    <w:p>
      <w:pPr>
        <w:spacing w:after="60"/>
      </w:pPr>
      <w:r>
        <w:rPr>
          <w:sz w:val="17"/>
          <w:szCs w:val="17"/>
        </w:rPr>
        <w:t xml:space="preserve">Status: Objectives met. Semantic model, KPI/measure layer, and root-cause analysis delivered without modifying the underlying Power BI report or existing visuals.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Deliverables: semantic model, DAX KPI &amp; Return Reason measure files, organized 'Return Reason Analysis' folder, this closure document.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Next steps: capture PDP-content, size-chart-version, and carrier/packaging data to convert root-cause hypotheses into confirmed causes.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7"/>
          <w:szCs w:val="17"/>
        </w:rPr>
        <w:t xml:space="preserve">Next steps: pilot fix #1 (listing rewrite) on top 10 SKUs and re-measure return rate after one cycle.</w:t>
      </w:r>
    </w:p>
    <w:p>
      <w:pPr>
        <w:sectPr>
          <w:pgSz w:w="12240" w:h="15840" w:orient="portrait"/>
          <w:pgMar w:top="700" w:right="900" w:bottom="600" w:left="900" w:header="708" w:footer="708" w:gutter="0"/>
          <w:pgNumType/>
          <w:docGrid w:linePitch="360"/>
        </w:sectPr>
      </w:pPr>
    </w:p>
    <w:p>
      <w:pPr>
        <w:pBdr>
          <w:bottom w:val="single" w:color="1a1a2e" w:sz="4" w:space="2"/>
        </w:pBdr>
        <w:spacing w:after="60"/>
      </w:pPr>
      <w:r>
        <w:rPr>
          <w:b/>
          <w:bCs/>
          <w:color w:val="1a1a2e"/>
          <w:sz w:val="22"/>
          <w:szCs w:val="22"/>
        </w:rPr>
        <w:t xml:space="preserve">Appendix — Detailed Executive Findings (Full Evidence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00"/>
        <w:gridCol w:w="2000"/>
        <w:gridCol w:w="2600"/>
        <w:gridCol w:w="500"/>
        <w:gridCol w:w="2100"/>
      </w:tblGrid>
      <w:tr>
        <w:trPr>
          <w:tblHeader/>
        </w:trPr>
        <w:tc>
          <w:tcPr>
            <w:tcW w:type="dxa" w:w="15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Problem</w:t>
            </w:r>
          </w:p>
        </w:tc>
        <w:tc>
          <w:tcPr>
            <w:tcW w:type="dxa" w:w="29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  <w:tc>
          <w:tcPr>
            <w:tcW w:type="dxa" w:w="29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Likely Root Cause</w:t>
            </w:r>
          </w:p>
        </w:tc>
        <w:tc>
          <w:tcPr>
            <w:tcW w:type="dxa" w:w="20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Business Impact</w:t>
            </w:r>
          </w:p>
        </w:tc>
        <w:tc>
          <w:tcPr>
            <w:tcW w:type="dxa" w:w="26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Recommended Fix</w:t>
            </w:r>
          </w:p>
        </w:tc>
        <w:tc>
          <w:tcPr>
            <w:tcW w:type="dxa" w:w="5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2100"/>
            <w:shd w:fill="1a1a2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Success KPI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1. Product Not
As Expected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228 units returned (highest of all reasons), 155 return events, Rs.7,94,928 refunded. Spread across every category (Fashion 68, H&amp;K 52, Electronics 39, Beauty 36) — not isolated to one product line. [Fact]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Listing — cross-category spread rules out a single product/vendor defect; pattern points to description/image accuracy on PDP. [Hypothesis — not proven; no PDP-content or review-text data in model]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20.5% of returned units; largest single refund driver alongside Damaged Product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Audit and rewrite product descriptions/images for the top 10 SKUs driving this reason</w:t>
            </w:r>
          </w:p>
        </w:tc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Reduce 'Product Not As Expected' returned units by 15% next quarter</w:t>
            </w:r>
          </w:p>
        </w:tc>
      </w:tr>
      <w:tr>
        <w:tc>
          <w:tcPr>
            <w:tcW w:type="dxa" w:w="15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2. Wrong Size</w:t>
            </w:r>
          </w:p>
        </w:tc>
        <w:tc>
          <w:tcPr>
            <w:tcW w:type="dxa" w:w="29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217 units, 151 return events, Rs.5,87,415 refunded. 88% concentrated in Fashion (192 of 217 units); Sports a distant second (25 units). [Fact]</w:t>
            </w:r>
          </w:p>
        </w:tc>
        <w:tc>
          <w:tcPr>
            <w:tcW w:type="dxa" w:w="29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Listing — near-total concentration in Fashion strongly implicates size chart/fit-guide accuracy on Fashion PDPs specifically. [Hypothesis on exact cause — model has no size-chart-version data to confirm]</w:t>
            </w:r>
          </w:p>
        </w:tc>
        <w:tc>
          <w:tcPr>
            <w:tcW w:type="dxa" w:w="20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19.5% of returned units; Fashion carries the highest category return rate (26.1%)</w:t>
            </w:r>
          </w:p>
        </w:tc>
        <w:tc>
          <w:tcPr>
            <w:tcW w:type="dxa" w:w="26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Rebuild size chart and add a fit-guide / size-recommendation tool on all Fashion PDPs</w:t>
            </w:r>
          </w:p>
        </w:tc>
        <w:tc>
          <w:tcPr>
            <w:tcW w:type="dxa" w:w="5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shd w:fill="f5f6f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Cut Fashion category return rate from 26.1% toward category average (~18%) within 2 quarters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3. Damaged
Product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184 units, 130 return events, Rs.9,35,685 refunded — highest Rs. impact of any single reason. Concentrated in Electronics (79) + Home &amp; Kitchen (60) = 76% of this reason's units — both fragile-item categories. [Fact]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Packaging / Logistics — concentration in fragile-goods categories suggests in-transit damage from inadequate packaging or rough handling. [Hypothesis — model has no carrier, packaging-type, or transit-damage-location data to confirm]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Highest refund value of any reason (Rs.9.36L); Electronics has 2nd-highest category return rate (21.7%)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Upgrade protective packaging for Electronics + Home &amp; Kitchen SKUs and audit courier handling</w:t>
            </w:r>
          </w:p>
        </w:tc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Reduce Damaged Product refund value by 20% next quarter</w:t>
            </w:r>
          </w:p>
        </w:tc>
      </w:tr>
    </w:tbl>
    <w:p>
      <w:pPr>
        <w:spacing w:before="100"/>
      </w:pPr>
      <w:r>
        <w:rPr>
          <w:i/>
          <w:iCs/>
          <w:color w:val="555555"/>
          <w:sz w:val="15"/>
          <w:szCs w:val="15"/>
        </w:rPr>
        <w:t xml:space="preserve">Note: Facts are directly measured from the model. Root causes labeled Listing / Packaging-Logistics are pattern-based inferences from category concentration, not confirmed causes — the model does not contain PDP-content, size-chart-version, or carrier/packaging-type fields needed to prove causation. No existing measures, visuals, or report structure were modified to produce this analysis.</w:t>
      </w:r>
    </w:p>
    <w:sectPr>
      <w:pgSz w:w="15840" w:h="12240" w:orient="portrait"/>
      <w:pgMar w:top="7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e83c8e967f917beee75cd57c3e7e46432b4ce0.png"/><Relationship Id="rId8" Type="http://schemas.openxmlformats.org/officeDocument/2006/relationships/image" Target="media/27fe8dd94f94def6bbb84f8fd2cf20256dc548a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2026-08-26T11:24:33.530Z</dcterms:created>
  <dcterms:modified xsi:type="dcterms:W3CDTF">2026-08-26T11:24:33.530Z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