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75EC" w14:textId="77777777" w:rsidR="00E14EAA" w:rsidRPr="00E14EAA" w:rsidRDefault="00E14EAA" w:rsidP="00E14E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4EAA">
        <w:rPr>
          <w:rFonts w:ascii="Times New Roman" w:eastAsia="Times New Roman" w:hAnsi="Times New Roman" w:cs="Times New Roman"/>
          <w:b/>
          <w:bCs/>
          <w:kern w:val="36"/>
          <w:sz w:val="48"/>
          <w:szCs w:val="48"/>
          <w14:ligatures w14:val="none"/>
        </w:rPr>
        <w:t>Comprehensive Mathematics Diagnostic Assessment Report</w:t>
      </w:r>
    </w:p>
    <w:p w14:paraId="4357D712"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Subject:</w:t>
      </w:r>
      <w:r w:rsidRPr="00E14EAA">
        <w:rPr>
          <w:rFonts w:ascii="Times New Roman" w:eastAsia="Times New Roman" w:hAnsi="Times New Roman" w:cs="Times New Roman"/>
          <w:kern w:val="0"/>
          <w14:ligatures w14:val="none"/>
        </w:rPr>
        <w:t xml:space="preserve"> Mathematics</w:t>
      </w:r>
    </w:p>
    <w:p w14:paraId="1BE29C71"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Cohorts Evaluated:</w:t>
      </w:r>
      <w:r w:rsidRPr="00E14EAA">
        <w:rPr>
          <w:rFonts w:ascii="Times New Roman" w:eastAsia="Times New Roman" w:hAnsi="Times New Roman" w:cs="Times New Roman"/>
          <w:kern w:val="0"/>
          <w14:ligatures w14:val="none"/>
        </w:rPr>
        <w:t xml:space="preserve"> Grade 11 (Sections A, B, C) and Grade 12 (Sections A, B, C)</w:t>
      </w:r>
    </w:p>
    <w:p w14:paraId="5F9858CA"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Lead Educator:</w:t>
      </w:r>
      <w:r w:rsidRPr="00E14EAA">
        <w:rPr>
          <w:rFonts w:ascii="Times New Roman" w:eastAsia="Times New Roman" w:hAnsi="Times New Roman" w:cs="Times New Roman"/>
          <w:kern w:val="0"/>
          <w14:ligatures w14:val="none"/>
        </w:rPr>
        <w:t xml:space="preserve"> Mr. Jitendra</w:t>
      </w:r>
    </w:p>
    <w:p w14:paraId="729330FF"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Academic Term:</w:t>
      </w:r>
      <w:r w:rsidRPr="00E14EAA">
        <w:rPr>
          <w:rFonts w:ascii="Times New Roman" w:eastAsia="Times New Roman" w:hAnsi="Times New Roman" w:cs="Times New Roman"/>
          <w:kern w:val="0"/>
          <w14:ligatures w14:val="none"/>
        </w:rPr>
        <w:t xml:space="preserve"> Beginning of Year Assessment</w:t>
      </w:r>
    </w:p>
    <w:p w14:paraId="13CB8AE5"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Table of Contents</w:t>
      </w:r>
    </w:p>
    <w:p w14:paraId="029C2805"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Executive Summary</w:t>
      </w:r>
    </w:p>
    <w:p w14:paraId="3BB7FD77"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Introduction and Academic Objectives</w:t>
      </w:r>
    </w:p>
    <w:p w14:paraId="1C839A2C"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Data Collection and Analytical Methodology</w:t>
      </w:r>
    </w:p>
    <w:p w14:paraId="7FBE4F97"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Overall Cohort Performance Analysis</w:t>
      </w:r>
    </w:p>
    <w:p w14:paraId="43004A3E"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Comparative Class Analysis</w:t>
      </w:r>
    </w:p>
    <w:p w14:paraId="7D2D060F"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Granular Findings and Variance</w:t>
      </w:r>
    </w:p>
    <w:p w14:paraId="434E6FF9"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Strategic Recommendations and Action Plan</w:t>
      </w:r>
    </w:p>
    <w:p w14:paraId="332A8D55" w14:textId="77777777" w:rsidR="00E14EAA" w:rsidRPr="00E14EAA" w:rsidRDefault="00E14EAA" w:rsidP="00E14E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Conclusion</w:t>
      </w:r>
    </w:p>
    <w:p w14:paraId="027CC29C"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1. Executive Summary</w:t>
      </w:r>
    </w:p>
    <w:p w14:paraId="07428E27"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This comprehensive report outlines the findings from the initial Mathematics Diagnostic Assessments administered to students across Grades 11 and 12 under the instruction of Mr. Jitendra. The primary objective of this assessment was to establish a quantitative baseline of student mathematical proficiency prior to the commencement of the core syllabus.</w:t>
      </w:r>
    </w:p>
    <w:p w14:paraId="1F54197B"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 xml:space="preserve">Initial data processing reveals a generally positive baseline, with the cohort mean hovering around the </w:t>
      </w:r>
      <w:proofErr w:type="gramStart"/>
      <w:r w:rsidRPr="00E14EAA">
        <w:rPr>
          <w:rFonts w:ascii="Times New Roman" w:eastAsia="Times New Roman" w:hAnsi="Times New Roman" w:cs="Times New Roman"/>
          <w:b/>
          <w:bCs/>
          <w:kern w:val="0"/>
          <w14:ligatures w14:val="none"/>
        </w:rPr>
        <w:t>75-77 mark</w:t>
      </w:r>
      <w:proofErr w:type="gramEnd"/>
      <w:r w:rsidRPr="00E14EAA">
        <w:rPr>
          <w:rFonts w:ascii="Times New Roman" w:eastAsia="Times New Roman" w:hAnsi="Times New Roman" w:cs="Times New Roman"/>
          <w:b/>
          <w:bCs/>
          <w:kern w:val="0"/>
          <w14:ligatures w14:val="none"/>
        </w:rPr>
        <w:t xml:space="preserve"> range</w:t>
      </w:r>
      <w:r w:rsidRPr="00E14EAA">
        <w:rPr>
          <w:rFonts w:ascii="Times New Roman" w:eastAsia="Times New Roman" w:hAnsi="Times New Roman" w:cs="Times New Roman"/>
          <w:kern w:val="0"/>
          <w14:ligatures w14:val="none"/>
        </w:rPr>
        <w:t xml:space="preserve">. </w:t>
      </w:r>
      <w:proofErr w:type="gramStart"/>
      <w:r w:rsidRPr="00E14EAA">
        <w:rPr>
          <w:rFonts w:ascii="Times New Roman" w:eastAsia="Times New Roman" w:hAnsi="Times New Roman" w:cs="Times New Roman"/>
          <w:kern w:val="0"/>
          <w14:ligatures w14:val="none"/>
        </w:rPr>
        <w:t>The majority of</w:t>
      </w:r>
      <w:proofErr w:type="gramEnd"/>
      <w:r w:rsidRPr="00E14EAA">
        <w:rPr>
          <w:rFonts w:ascii="Times New Roman" w:eastAsia="Times New Roman" w:hAnsi="Times New Roman" w:cs="Times New Roman"/>
          <w:kern w:val="0"/>
          <w14:ligatures w14:val="none"/>
        </w:rPr>
        <w:t xml:space="preserve"> students demonstrate a solid grasp of foundational prerequisites, clustering predominantly within the "Average" (70-79) and "Good" (80-89) brackets. Notably, there is a lack of extreme lower-bound outliers, though the ceiling (90+ scores) has not yet been significantly breached. This indicates a cohort that is academically capable but requires targeted extension exercises to reach mastery, alongside structured intervention for a minor subset of students scoring below 70.</w:t>
      </w:r>
    </w:p>
    <w:p w14:paraId="78624DB3"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2. Introduction and Academic Objectives</w:t>
      </w:r>
    </w:p>
    <w:p w14:paraId="6E4BCEAA"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Diagnostic testing is a cornerstone of effective formative assessment. In Mathematics, where concepts are highly sequential and cumulative, identifying knowledge gaps early is critical to student success.</w:t>
      </w:r>
    </w:p>
    <w:p w14:paraId="6D4430F0"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lastRenderedPageBreak/>
        <w:t>The objectives of analyzing this diagnostic data are multifold:</w:t>
      </w:r>
    </w:p>
    <w:p w14:paraId="6C1657A7" w14:textId="77777777" w:rsidR="00E14EAA" w:rsidRPr="00E14EAA" w:rsidRDefault="00E14EAA" w:rsidP="00E14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Establish a Baseline:</w:t>
      </w:r>
      <w:r w:rsidRPr="00E14EAA">
        <w:rPr>
          <w:rFonts w:ascii="Times New Roman" w:eastAsia="Times New Roman" w:hAnsi="Times New Roman" w:cs="Times New Roman"/>
          <w:kern w:val="0"/>
          <w14:ligatures w14:val="none"/>
        </w:rPr>
        <w:t xml:space="preserve"> Quantify the starting academic level of all students in G11 and G12.</w:t>
      </w:r>
    </w:p>
    <w:p w14:paraId="302D943C" w14:textId="77777777" w:rsidR="00E14EAA" w:rsidRPr="00E14EAA" w:rsidRDefault="00E14EAA" w:rsidP="00E14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Identify Knowledge Gaps:</w:t>
      </w:r>
      <w:r w:rsidRPr="00E14EAA">
        <w:rPr>
          <w:rFonts w:ascii="Times New Roman" w:eastAsia="Times New Roman" w:hAnsi="Times New Roman" w:cs="Times New Roman"/>
          <w:kern w:val="0"/>
          <w14:ligatures w14:val="none"/>
        </w:rPr>
        <w:t xml:space="preserve"> Pinpoint specific cohorts or individuals requiring immediate prerequisite remediation.</w:t>
      </w:r>
    </w:p>
    <w:p w14:paraId="5F9C914B" w14:textId="77777777" w:rsidR="00E14EAA" w:rsidRPr="00E14EAA" w:rsidRDefault="00E14EAA" w:rsidP="00E14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Inform Curriculum Pacing:</w:t>
      </w:r>
      <w:r w:rsidRPr="00E14EAA">
        <w:rPr>
          <w:rFonts w:ascii="Times New Roman" w:eastAsia="Times New Roman" w:hAnsi="Times New Roman" w:cs="Times New Roman"/>
          <w:kern w:val="0"/>
          <w14:ligatures w14:val="none"/>
        </w:rPr>
        <w:t xml:space="preserve"> Allow the mathematics department to adjust the speed of instruction based on the retained knowledge from the previous academic year.</w:t>
      </w:r>
    </w:p>
    <w:p w14:paraId="147EDFBD" w14:textId="77777777" w:rsidR="00E14EAA" w:rsidRPr="00E14EAA" w:rsidRDefault="00E14EAA" w:rsidP="00E14E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Facilitate Differentiated Instruction:</w:t>
      </w:r>
      <w:r w:rsidRPr="00E14EAA">
        <w:rPr>
          <w:rFonts w:ascii="Times New Roman" w:eastAsia="Times New Roman" w:hAnsi="Times New Roman" w:cs="Times New Roman"/>
          <w:kern w:val="0"/>
          <w14:ligatures w14:val="none"/>
        </w:rPr>
        <w:t xml:space="preserve"> Provide data-backed groupings for collaborative learning and tailored lesson planning.</w:t>
      </w:r>
    </w:p>
    <w:p w14:paraId="625A01F1"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3. Data Collection and Analytical Methodology</w:t>
      </w:r>
    </w:p>
    <w:p w14:paraId="320961CE"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The data was exported from the School Information System (SIS) resulting in raw CSV files containing both Arabic and English student names, alongside their respective diagnostic scores.</w:t>
      </w:r>
    </w:p>
    <w:p w14:paraId="2CF9DADA"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Due to standard SIS export anomalies—such as floating class headers (</w:t>
      </w:r>
      <w:r w:rsidRPr="00E14EAA">
        <w:rPr>
          <w:rFonts w:ascii="Courier New" w:eastAsia="Times New Roman" w:hAnsi="Courier New" w:cs="Courier New"/>
          <w:kern w:val="0"/>
          <w:sz w:val="20"/>
          <w:szCs w:val="20"/>
          <w14:ligatures w14:val="none"/>
        </w:rPr>
        <w:t>G11 A</w:t>
      </w:r>
      <w:r w:rsidRPr="00E14EAA">
        <w:rPr>
          <w:rFonts w:ascii="Times New Roman" w:eastAsia="Times New Roman" w:hAnsi="Times New Roman" w:cs="Times New Roman"/>
          <w:kern w:val="0"/>
          <w14:ligatures w14:val="none"/>
        </w:rPr>
        <w:t xml:space="preserve">, </w:t>
      </w:r>
      <w:r w:rsidRPr="00E14EAA">
        <w:rPr>
          <w:rFonts w:ascii="Courier New" w:eastAsia="Times New Roman" w:hAnsi="Courier New" w:cs="Courier New"/>
          <w:kern w:val="0"/>
          <w:sz w:val="20"/>
          <w:szCs w:val="20"/>
          <w14:ligatures w14:val="none"/>
        </w:rPr>
        <w:t>G12 B</w:t>
      </w:r>
      <w:r w:rsidRPr="00E14EAA">
        <w:rPr>
          <w:rFonts w:ascii="Times New Roman" w:eastAsia="Times New Roman" w:hAnsi="Times New Roman" w:cs="Times New Roman"/>
          <w:kern w:val="0"/>
          <w14:ligatures w14:val="none"/>
        </w:rPr>
        <w:t>) and formatting irregularities—a custom programmatic approach was utilized. A Python-based data pipeline was developed to:</w:t>
      </w:r>
    </w:p>
    <w:p w14:paraId="084DADD2" w14:textId="77777777" w:rsidR="00E14EAA" w:rsidRPr="00E14EAA" w:rsidRDefault="00E14EAA" w:rsidP="00E14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Cleanse and structure the bilingual, multi-layered data into a standardized format.</w:t>
      </w:r>
    </w:p>
    <w:p w14:paraId="271215DA" w14:textId="77777777" w:rsidR="00E14EAA" w:rsidRPr="00E14EAA" w:rsidRDefault="00E14EAA" w:rsidP="00E14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Group students accurately by their specific Grade and Section.</w:t>
      </w:r>
    </w:p>
    <w:p w14:paraId="7BDD0763" w14:textId="77777777" w:rsidR="00E14EAA" w:rsidRPr="00E14EAA" w:rsidRDefault="00E14EAA" w:rsidP="00E14E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Generate statistical visualizations to map frequency distributions, central tendencies, and variance across the cohorts.</w:t>
      </w:r>
    </w:p>
    <w:p w14:paraId="69714DD5"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4. Overall Cohort Performance Analysis</w:t>
      </w:r>
    </w:p>
    <w:p w14:paraId="3AC3E1BC"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To understand the broader academic landscape, we first analyze the combined data of all students regardless of their specific class section.</w:t>
      </w:r>
    </w:p>
    <w:p w14:paraId="4DFD54FE" w14:textId="77777777" w:rsid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7B7BEB8" w14:textId="0AB26D84"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4.1. General Mark Distribution</w:t>
      </w:r>
    </w:p>
    <w:p w14:paraId="2F1C4F05"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The distribution of scores provides insight into the general difficulty of the test relative to student ability. The distribution curve is slightly left-skewed, indicating that the bulk of the student population sits comfortably above the 70-mark threshold.</w:t>
      </w:r>
    </w:p>
    <w:p w14:paraId="6C1032CE" w14:textId="5166ED24"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4A45B83" wp14:editId="6A8CEC66">
            <wp:extent cx="5943600" cy="3566160"/>
            <wp:effectExtent l="0" t="0" r="0" b="2540"/>
            <wp:docPr id="1219100586" name="Picture 1" descr="A graph with blue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0586" name="Picture 1" descr="A graph with blue lines and a red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479E752"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As observed in the distribution chart, the highest concentration of students achieved marks between 70 and 85. The drop-off in scores below 65 is an encouraging sign, suggesting that fundamental mathematical literacy is strong across the board.</w:t>
      </w:r>
    </w:p>
    <w:p w14:paraId="13AC1094" w14:textId="447FE22E"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4.2. Performance Categorization</w:t>
      </w:r>
    </w:p>
    <w:p w14:paraId="4B04C4CC"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To simplify intervention strategies, student scores were segmented into four qualitative performance brackets.</w:t>
      </w:r>
    </w:p>
    <w:p w14:paraId="3637E9F9" w14:textId="6E5AB2F0" w:rsidR="00E14EAA" w:rsidRDefault="00E14EAA" w:rsidP="006C4C6F">
      <w:pPr>
        <w:spacing w:before="100" w:beforeAutospacing="1" w:after="100" w:afterAutospacing="1" w:line="240" w:lineRule="auto"/>
        <w:jc w:val="center"/>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noProof/>
          <w:kern w:val="0"/>
        </w:rPr>
        <w:drawing>
          <wp:inline distT="0" distB="0" distL="0" distR="0" wp14:anchorId="288F9B8C" wp14:editId="29B0A604">
            <wp:extent cx="2824480" cy="2824480"/>
            <wp:effectExtent l="0" t="0" r="0" b="0"/>
            <wp:docPr id="1104798229" name="Picture 3"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8229" name="Picture 3" descr="A pie chart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4480" cy="2824480"/>
                    </a:xfrm>
                    <a:prstGeom prst="rect">
                      <a:avLst/>
                    </a:prstGeom>
                  </pic:spPr>
                </pic:pic>
              </a:graphicData>
            </a:graphic>
          </wp:inline>
        </w:drawing>
      </w:r>
    </w:p>
    <w:p w14:paraId="146A7205" w14:textId="3C5223E5"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lastRenderedPageBreak/>
        <w:t>Category Definitions:</w:t>
      </w:r>
    </w:p>
    <w:p w14:paraId="52A4E6BB" w14:textId="77777777" w:rsidR="00E14EAA" w:rsidRPr="00E14EAA" w:rsidRDefault="00E14EAA" w:rsidP="00E14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Excellent (90-100):</w:t>
      </w:r>
      <w:r w:rsidRPr="00E14EAA">
        <w:rPr>
          <w:rFonts w:ascii="Times New Roman" w:eastAsia="Times New Roman" w:hAnsi="Times New Roman" w:cs="Times New Roman"/>
          <w:kern w:val="0"/>
          <w14:ligatures w14:val="none"/>
        </w:rPr>
        <w:t xml:space="preserve"> Students ready for advanced extension tasks and independent complex problem-solving.</w:t>
      </w:r>
    </w:p>
    <w:p w14:paraId="1B3487A0" w14:textId="4EE1FB60" w:rsidR="00E14EAA" w:rsidRPr="00E14EAA" w:rsidRDefault="00E14EAA" w:rsidP="00E14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Good (80-89):</w:t>
      </w:r>
      <w:r w:rsidRPr="00E14EAA">
        <w:rPr>
          <w:rFonts w:ascii="Times New Roman" w:eastAsia="Times New Roman" w:hAnsi="Times New Roman" w:cs="Times New Roman"/>
          <w:kern w:val="0"/>
          <w14:ligatures w14:val="none"/>
        </w:rPr>
        <w:t xml:space="preserve"> Students demonstrating strong retention of prior concepts.</w:t>
      </w:r>
    </w:p>
    <w:p w14:paraId="4943C9FC" w14:textId="77777777" w:rsidR="00E14EAA" w:rsidRPr="00E14EAA" w:rsidRDefault="00E14EAA" w:rsidP="00E14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Average (70-79):</w:t>
      </w:r>
      <w:r w:rsidRPr="00E14EAA">
        <w:rPr>
          <w:rFonts w:ascii="Times New Roman" w:eastAsia="Times New Roman" w:hAnsi="Times New Roman" w:cs="Times New Roman"/>
          <w:kern w:val="0"/>
          <w14:ligatures w14:val="none"/>
        </w:rPr>
        <w:t xml:space="preserve"> Students who grasp the basics but may struggle with multi-step or abstract applications.</w:t>
      </w:r>
    </w:p>
    <w:p w14:paraId="48A89F9D" w14:textId="77777777" w:rsidR="00E14EAA" w:rsidRPr="00E14EAA" w:rsidRDefault="00E14EAA" w:rsidP="00E14E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Needs Improvement (&lt;70):</w:t>
      </w:r>
      <w:r w:rsidRPr="00E14EAA">
        <w:rPr>
          <w:rFonts w:ascii="Times New Roman" w:eastAsia="Times New Roman" w:hAnsi="Times New Roman" w:cs="Times New Roman"/>
          <w:kern w:val="0"/>
          <w14:ligatures w14:val="none"/>
        </w:rPr>
        <w:t xml:space="preserve"> Students requiring immediate, targeted support to cope with the upcoming curriculum.</w:t>
      </w:r>
    </w:p>
    <w:p w14:paraId="7534889E" w14:textId="77777777" w:rsid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00266D" w14:textId="3DA81B85"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5. Comparative Class Analysis</w:t>
      </w:r>
    </w:p>
    <w:p w14:paraId="08CED5A7"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While overall trends are useful, actionable teaching strategies occur at the classroom level. Comparing class averages helps determine if resources need to be diverted to specific sections.</w:t>
      </w:r>
    </w:p>
    <w:p w14:paraId="01E72809" w14:textId="77777777"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5.1. Average Scores by Section</w:t>
      </w:r>
    </w:p>
    <w:p w14:paraId="1BF795DF"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By isolating the mean score of each specific class (11A, 11B, 11C, 12A, 12B, 12C), we can identify which classroom environments are starting at a disadvantage and which are ready to accelerate.</w:t>
      </w:r>
    </w:p>
    <w:p w14:paraId="51723534" w14:textId="00CD48BC" w:rsidR="00E14EAA" w:rsidRDefault="00E14EAA" w:rsidP="00E14EAA">
      <w:pPr>
        <w:spacing w:before="100" w:beforeAutospacing="1" w:after="100" w:afterAutospacing="1" w:line="240" w:lineRule="auto"/>
        <w:rPr>
          <w:rFonts w:ascii="Apple Color Emoji" w:eastAsia="Times New Roman" w:hAnsi="Apple Color Emoji" w:cs="Apple Color Emoji"/>
          <w:b/>
          <w:bCs/>
          <w:kern w:val="0"/>
          <w14:ligatures w14:val="none"/>
        </w:rPr>
      </w:pPr>
      <w:r>
        <w:rPr>
          <w:rFonts w:ascii="Apple Color Emoji" w:eastAsia="Times New Roman" w:hAnsi="Apple Color Emoji" w:cs="Apple Color Emoji"/>
          <w:b/>
          <w:bCs/>
          <w:noProof/>
          <w:kern w:val="0"/>
        </w:rPr>
        <w:drawing>
          <wp:inline distT="0" distB="0" distL="0" distR="0" wp14:anchorId="5E6C0945" wp14:editId="6EA5829C">
            <wp:extent cx="5943600" cy="3566160"/>
            <wp:effectExtent l="0" t="0" r="0" b="2540"/>
            <wp:docPr id="280586556" name="Picture 5" descr="A graph with a green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6556" name="Picture 5" descr="A graph with a green and blue ba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142E34D" w14:textId="77777777" w:rsidR="00E14EAA" w:rsidRDefault="00E14EAA" w:rsidP="00E14EAA">
      <w:pPr>
        <w:spacing w:before="100" w:beforeAutospacing="1" w:after="100" w:afterAutospacing="1" w:line="240" w:lineRule="auto"/>
        <w:rPr>
          <w:rFonts w:ascii="Apple Color Emoji" w:eastAsia="Times New Roman" w:hAnsi="Apple Color Emoji" w:cs="Apple Color Emoji"/>
          <w:b/>
          <w:bCs/>
          <w:kern w:val="0"/>
          <w14:ligatures w14:val="none"/>
        </w:rPr>
      </w:pPr>
    </w:p>
    <w:p w14:paraId="3FAAA534" w14:textId="256FE8CE"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lastRenderedPageBreak/>
        <w:t>If a specific section (e.g., 11C) shows a markedly lower average than its peers, the educator must investigate whether this is due to a concentration of students needing support, timetable constraints, or prior year instructional differences.</w:t>
      </w:r>
    </w:p>
    <w:p w14:paraId="109086AC"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6. Granular Findings and Variance</w:t>
      </w:r>
    </w:p>
    <w:p w14:paraId="138B329A"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Average scores can sometimes mask the reality of a classroom. A class with an average of 75 might consist of all students scoring exactly 75, or it could consist of half the students scoring 50 and half scoring 100. Understanding this variance is crucial.</w:t>
      </w:r>
    </w:p>
    <w:p w14:paraId="5E2107AC" w14:textId="77777777"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6.1. Score Spread and Outliers</w:t>
      </w:r>
    </w:p>
    <w:p w14:paraId="3430477F"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The Box and Swarm plot maps exactly how tightly clustered student abilities are within each room.</w:t>
      </w:r>
    </w:p>
    <w:p w14:paraId="3B33B033" w14:textId="35EFB75E"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85A66F1" wp14:editId="6F06B047">
            <wp:extent cx="5943600" cy="3467100"/>
            <wp:effectExtent l="0" t="0" r="0" b="0"/>
            <wp:docPr id="574975710" name="Picture 6" descr="A diagram of a group of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5710" name="Picture 6" descr="A diagram of a group of data poin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48FB5EEE"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Interpreting the Variance:</w:t>
      </w:r>
    </w:p>
    <w:p w14:paraId="6E75B875" w14:textId="77777777" w:rsidR="00E14EAA" w:rsidRPr="00E14EAA" w:rsidRDefault="00E14EAA" w:rsidP="00E14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Tall/Wide Boxes:</w:t>
      </w:r>
      <w:r w:rsidRPr="00E14EAA">
        <w:rPr>
          <w:rFonts w:ascii="Times New Roman" w:eastAsia="Times New Roman" w:hAnsi="Times New Roman" w:cs="Times New Roman"/>
          <w:kern w:val="0"/>
          <w14:ligatures w14:val="none"/>
        </w:rPr>
        <w:t xml:space="preserve"> Indicate a highly mixed-ability classroom. The teacher will need to rely heavily on differentiated instruction, offering varied levels of task complexity within a single lesson.</w:t>
      </w:r>
    </w:p>
    <w:p w14:paraId="35326534" w14:textId="77777777" w:rsidR="00E14EAA" w:rsidRPr="00E14EAA" w:rsidRDefault="00E14EAA" w:rsidP="00E14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Short/Narrow Boxes:</w:t>
      </w:r>
      <w:r w:rsidRPr="00E14EAA">
        <w:rPr>
          <w:rFonts w:ascii="Times New Roman" w:eastAsia="Times New Roman" w:hAnsi="Times New Roman" w:cs="Times New Roman"/>
          <w:kern w:val="0"/>
          <w14:ligatures w14:val="none"/>
        </w:rPr>
        <w:t xml:space="preserve"> Indicate a homogenous classroom where students are largely at the same level. Whole-class instruction will be highly effective here.</w:t>
      </w:r>
    </w:p>
    <w:p w14:paraId="696149BD" w14:textId="77777777" w:rsidR="00E14EAA" w:rsidRPr="00E14EAA" w:rsidRDefault="00E14EAA" w:rsidP="00E14E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Individual Dots (Outliers):</w:t>
      </w:r>
      <w:r w:rsidRPr="00E14EAA">
        <w:rPr>
          <w:rFonts w:ascii="Times New Roman" w:eastAsia="Times New Roman" w:hAnsi="Times New Roman" w:cs="Times New Roman"/>
          <w:kern w:val="0"/>
          <w14:ligatures w14:val="none"/>
        </w:rPr>
        <w:t xml:space="preserve"> Dots falling far below the main box represent specific students who are at high risk of falling behind. These individuals should be cross-referenced with the raw data for immediate intervention.</w:t>
      </w:r>
    </w:p>
    <w:p w14:paraId="5456CD4C"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lastRenderedPageBreak/>
        <w:t>7. Strategic Recommendations and Action Plan</w:t>
      </w:r>
    </w:p>
    <w:p w14:paraId="210EBD32"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Based on the empirical data derived from the diagnostic assessment, the following multi-tiered action plan is recommended for Mr. Jitendra and the Mathematics Department:</w:t>
      </w:r>
    </w:p>
    <w:p w14:paraId="4D7CDFCF" w14:textId="77777777"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Tier 1: Immediate Student Intervention (Scores &lt; 70)</w:t>
      </w:r>
    </w:p>
    <w:p w14:paraId="4AA2EE53" w14:textId="77777777" w:rsidR="00E14EAA" w:rsidRPr="00E14EAA" w:rsidRDefault="00E14EAA" w:rsidP="00E14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Identification:</w:t>
      </w:r>
      <w:r w:rsidRPr="00E14EAA">
        <w:rPr>
          <w:rFonts w:ascii="Times New Roman" w:eastAsia="Times New Roman" w:hAnsi="Times New Roman" w:cs="Times New Roman"/>
          <w:kern w:val="0"/>
          <w14:ligatures w14:val="none"/>
        </w:rPr>
        <w:t xml:space="preserve"> Isolate the list of students scoring below 70 from the </w:t>
      </w:r>
      <w:r w:rsidRPr="00E14EAA">
        <w:rPr>
          <w:rFonts w:ascii="Courier New" w:eastAsia="Times New Roman" w:hAnsi="Courier New" w:cs="Courier New"/>
          <w:kern w:val="0"/>
          <w:sz w:val="20"/>
          <w:szCs w:val="20"/>
          <w14:ligatures w14:val="none"/>
        </w:rPr>
        <w:t>Cleaned_Maths_Diagnostic_Results.csv</w:t>
      </w:r>
      <w:r w:rsidRPr="00E14EAA">
        <w:rPr>
          <w:rFonts w:ascii="Times New Roman" w:eastAsia="Times New Roman" w:hAnsi="Times New Roman" w:cs="Times New Roman"/>
          <w:kern w:val="0"/>
          <w14:ligatures w14:val="none"/>
        </w:rPr>
        <w:t xml:space="preserve"> file.</w:t>
      </w:r>
    </w:p>
    <w:p w14:paraId="679DD618" w14:textId="77777777" w:rsidR="00E14EAA" w:rsidRPr="00E14EAA" w:rsidRDefault="00E14EAA" w:rsidP="00E14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Action:</w:t>
      </w:r>
      <w:r w:rsidRPr="00E14EAA">
        <w:rPr>
          <w:rFonts w:ascii="Times New Roman" w:eastAsia="Times New Roman" w:hAnsi="Times New Roman" w:cs="Times New Roman"/>
          <w:kern w:val="0"/>
          <w14:ligatures w14:val="none"/>
        </w:rPr>
        <w:t xml:space="preserve"> Schedule a mandatory after-school bridge-course session covering the foundational topics that were heavily weighted in the diagnostic test.</w:t>
      </w:r>
    </w:p>
    <w:p w14:paraId="2D2B3ECC" w14:textId="77777777" w:rsidR="00E14EAA" w:rsidRPr="00E14EAA" w:rsidRDefault="00E14EAA" w:rsidP="00E14E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Resource Allocation:</w:t>
      </w:r>
      <w:r w:rsidRPr="00E14EAA">
        <w:rPr>
          <w:rFonts w:ascii="Times New Roman" w:eastAsia="Times New Roman" w:hAnsi="Times New Roman" w:cs="Times New Roman"/>
          <w:kern w:val="0"/>
          <w14:ligatures w14:val="none"/>
        </w:rPr>
        <w:t xml:space="preserve"> Provide specific, simplified worksheets focusing on prerequisite algebra and geometry concepts required for G11/G12 success.</w:t>
      </w:r>
    </w:p>
    <w:p w14:paraId="6F14D70C" w14:textId="77777777"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Tier 2: Classroom-Level Differentiation (Variance Management)</w:t>
      </w:r>
    </w:p>
    <w:p w14:paraId="0D8AD761" w14:textId="77777777" w:rsidR="00E14EAA" w:rsidRPr="00E14EAA" w:rsidRDefault="00E14EAA" w:rsidP="00E14E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Strategic Seating:</w:t>
      </w:r>
      <w:r w:rsidRPr="00E14EAA">
        <w:rPr>
          <w:rFonts w:ascii="Times New Roman" w:eastAsia="Times New Roman" w:hAnsi="Times New Roman" w:cs="Times New Roman"/>
          <w:kern w:val="0"/>
          <w14:ligatures w14:val="none"/>
        </w:rPr>
        <w:t xml:space="preserve"> In classes showing high variance (tall boxes in Figure 4), implement mixed-ability seating. Pair students scoring in the "Good" bracket (80-89) with those in the "Average" bracket (70-79) to encourage peer-to-peer tutoring.</w:t>
      </w:r>
    </w:p>
    <w:p w14:paraId="22756CFF" w14:textId="77777777" w:rsidR="00E14EAA" w:rsidRPr="00E14EAA" w:rsidRDefault="00E14EAA" w:rsidP="00E14E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Tiered Assignments:</w:t>
      </w:r>
      <w:r w:rsidRPr="00E14EAA">
        <w:rPr>
          <w:rFonts w:ascii="Times New Roman" w:eastAsia="Times New Roman" w:hAnsi="Times New Roman" w:cs="Times New Roman"/>
          <w:kern w:val="0"/>
          <w14:ligatures w14:val="none"/>
        </w:rPr>
        <w:t xml:space="preserve"> Design homework assignments with three levels of difficulty: mandatory core questions, application questions, and optional extension questions for early finishers.</w:t>
      </w:r>
    </w:p>
    <w:p w14:paraId="0DE3346D" w14:textId="77777777" w:rsidR="00E14EAA" w:rsidRPr="00E14EAA" w:rsidRDefault="00E14EAA" w:rsidP="00E14E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EAA">
        <w:rPr>
          <w:rFonts w:ascii="Times New Roman" w:eastAsia="Times New Roman" w:hAnsi="Times New Roman" w:cs="Times New Roman"/>
          <w:b/>
          <w:bCs/>
          <w:kern w:val="0"/>
          <w:sz w:val="27"/>
          <w:szCs w:val="27"/>
          <w14:ligatures w14:val="none"/>
        </w:rPr>
        <w:t>Tier 3: Curriculum Pacing Adjustments</w:t>
      </w:r>
    </w:p>
    <w:p w14:paraId="605EFF81" w14:textId="77777777" w:rsidR="00E14EAA" w:rsidRPr="00E14EAA" w:rsidRDefault="00E14EAA" w:rsidP="00E14E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Accelerated Review:</w:t>
      </w:r>
      <w:r w:rsidRPr="00E14EAA">
        <w:rPr>
          <w:rFonts w:ascii="Times New Roman" w:eastAsia="Times New Roman" w:hAnsi="Times New Roman" w:cs="Times New Roman"/>
          <w:kern w:val="0"/>
          <w14:ligatures w14:val="none"/>
        </w:rPr>
        <w:t xml:space="preserve"> Because the overall cohort mean is reasonably strong (~75+), the department does not need to spend the standard 2-3 weeks reviewing the previous year's material. Review can be condensed to 1 week.</w:t>
      </w:r>
    </w:p>
    <w:p w14:paraId="377CE3C3" w14:textId="77777777" w:rsidR="00E14EAA" w:rsidRPr="00E14EAA" w:rsidRDefault="00E14EAA" w:rsidP="00E14E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b/>
          <w:bCs/>
          <w:kern w:val="0"/>
          <w14:ligatures w14:val="none"/>
        </w:rPr>
        <w:t>Focus on Higher-Order Thinking:</w:t>
      </w:r>
      <w:r w:rsidRPr="00E14EAA">
        <w:rPr>
          <w:rFonts w:ascii="Times New Roman" w:eastAsia="Times New Roman" w:hAnsi="Times New Roman" w:cs="Times New Roman"/>
          <w:kern w:val="0"/>
          <w14:ligatures w14:val="none"/>
        </w:rPr>
        <w:t xml:space="preserve"> The lack of students in the "Excellent" (90-100) range indicates that while basic procedures are understood, critical thinking and complex problem-solving are lacking. Instruction should shift focus toward word problems, proofs, and real-world application tasks early in the term to push students into the top tier.</w:t>
      </w:r>
    </w:p>
    <w:p w14:paraId="4D3A78E5" w14:textId="77777777" w:rsidR="00E14EAA" w:rsidRPr="00E14EAA" w:rsidRDefault="00E14EAA" w:rsidP="00E14E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4EAA">
        <w:rPr>
          <w:rFonts w:ascii="Times New Roman" w:eastAsia="Times New Roman" w:hAnsi="Times New Roman" w:cs="Times New Roman"/>
          <w:b/>
          <w:bCs/>
          <w:kern w:val="0"/>
          <w:sz w:val="36"/>
          <w:szCs w:val="36"/>
          <w14:ligatures w14:val="none"/>
        </w:rPr>
        <w:t>8. Conclusion</w:t>
      </w:r>
    </w:p>
    <w:p w14:paraId="573CC6DA" w14:textId="77777777" w:rsidR="00E14EAA" w:rsidRPr="00E14EAA" w:rsidRDefault="00E14EAA" w:rsidP="00E14EAA">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The Mathematics Diagnostic Assessment for Grades 11 and 12 has yielded highly encouraging results. Mr. Jitendra is stepping into classrooms populated by students with a largely secure understanding of foundational mathematics.</w:t>
      </w:r>
    </w:p>
    <w:p w14:paraId="781BB099" w14:textId="0B43235F" w:rsidR="00E14EAA" w:rsidRPr="006C4C6F" w:rsidRDefault="00E14EAA" w:rsidP="006C4C6F">
      <w:pPr>
        <w:spacing w:before="100" w:beforeAutospacing="1" w:after="100" w:afterAutospacing="1" w:line="240" w:lineRule="auto"/>
        <w:rPr>
          <w:rFonts w:ascii="Times New Roman" w:eastAsia="Times New Roman" w:hAnsi="Times New Roman" w:cs="Times New Roman"/>
          <w:kern w:val="0"/>
          <w14:ligatures w14:val="none"/>
        </w:rPr>
      </w:pPr>
      <w:r w:rsidRPr="00E14EAA">
        <w:rPr>
          <w:rFonts w:ascii="Times New Roman" w:eastAsia="Times New Roman" w:hAnsi="Times New Roman" w:cs="Times New Roman"/>
          <w:kern w:val="0"/>
          <w14:ligatures w14:val="none"/>
        </w:rPr>
        <w:t>By applying the data-driven strategies outlined in this report—specifically regarding differentiated instruction and targeted, early intervention for the lower quartile—the department is well-positioned to elevate overall academic achievement and successfully guide the cohort through the rigors of the senior mathematics curriculum.</w:t>
      </w:r>
    </w:p>
    <w:sectPr w:rsidR="00E14EAA" w:rsidRPr="006C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2EAD"/>
    <w:multiLevelType w:val="multilevel"/>
    <w:tmpl w:val="DF2A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0320C"/>
    <w:multiLevelType w:val="multilevel"/>
    <w:tmpl w:val="6A12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205F1"/>
    <w:multiLevelType w:val="multilevel"/>
    <w:tmpl w:val="282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919C3"/>
    <w:multiLevelType w:val="multilevel"/>
    <w:tmpl w:val="1FA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04431"/>
    <w:multiLevelType w:val="multilevel"/>
    <w:tmpl w:val="879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D0D33"/>
    <w:multiLevelType w:val="multilevel"/>
    <w:tmpl w:val="124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35206"/>
    <w:multiLevelType w:val="multilevel"/>
    <w:tmpl w:val="E5B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F7320"/>
    <w:multiLevelType w:val="multilevel"/>
    <w:tmpl w:val="CD7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24318">
    <w:abstractNumId w:val="0"/>
  </w:num>
  <w:num w:numId="2" w16cid:durableId="1739471422">
    <w:abstractNumId w:val="4"/>
  </w:num>
  <w:num w:numId="3" w16cid:durableId="47455922">
    <w:abstractNumId w:val="1"/>
  </w:num>
  <w:num w:numId="4" w16cid:durableId="1025013407">
    <w:abstractNumId w:val="6"/>
  </w:num>
  <w:num w:numId="5" w16cid:durableId="448862453">
    <w:abstractNumId w:val="7"/>
  </w:num>
  <w:num w:numId="6" w16cid:durableId="825168717">
    <w:abstractNumId w:val="2"/>
  </w:num>
  <w:num w:numId="7" w16cid:durableId="1648827492">
    <w:abstractNumId w:val="3"/>
  </w:num>
  <w:num w:numId="8" w16cid:durableId="392776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AA"/>
    <w:rsid w:val="0055237C"/>
    <w:rsid w:val="006C4C6F"/>
    <w:rsid w:val="00867825"/>
    <w:rsid w:val="00E14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FDB987"/>
  <w15:chartTrackingRefBased/>
  <w15:docId w15:val="{F8607AD3-2545-0143-A0C6-275DF0A0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4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4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EAA"/>
    <w:rPr>
      <w:rFonts w:eastAsiaTheme="majorEastAsia" w:cstheme="majorBidi"/>
      <w:color w:val="272727" w:themeColor="text1" w:themeTint="D8"/>
    </w:rPr>
  </w:style>
  <w:style w:type="paragraph" w:styleId="Title">
    <w:name w:val="Title"/>
    <w:basedOn w:val="Normal"/>
    <w:next w:val="Normal"/>
    <w:link w:val="TitleChar"/>
    <w:uiPriority w:val="10"/>
    <w:qFormat/>
    <w:rsid w:val="00E1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EAA"/>
    <w:pPr>
      <w:spacing w:before="160"/>
      <w:jc w:val="center"/>
    </w:pPr>
    <w:rPr>
      <w:i/>
      <w:iCs/>
      <w:color w:val="404040" w:themeColor="text1" w:themeTint="BF"/>
    </w:rPr>
  </w:style>
  <w:style w:type="character" w:customStyle="1" w:styleId="QuoteChar">
    <w:name w:val="Quote Char"/>
    <w:basedOn w:val="DefaultParagraphFont"/>
    <w:link w:val="Quote"/>
    <w:uiPriority w:val="29"/>
    <w:rsid w:val="00E14EAA"/>
    <w:rPr>
      <w:i/>
      <w:iCs/>
      <w:color w:val="404040" w:themeColor="text1" w:themeTint="BF"/>
    </w:rPr>
  </w:style>
  <w:style w:type="paragraph" w:styleId="ListParagraph">
    <w:name w:val="List Paragraph"/>
    <w:basedOn w:val="Normal"/>
    <w:uiPriority w:val="34"/>
    <w:qFormat/>
    <w:rsid w:val="00E14EAA"/>
    <w:pPr>
      <w:ind w:left="720"/>
      <w:contextualSpacing/>
    </w:pPr>
  </w:style>
  <w:style w:type="character" w:styleId="IntenseEmphasis">
    <w:name w:val="Intense Emphasis"/>
    <w:basedOn w:val="DefaultParagraphFont"/>
    <w:uiPriority w:val="21"/>
    <w:qFormat/>
    <w:rsid w:val="00E14EAA"/>
    <w:rPr>
      <w:i/>
      <w:iCs/>
      <w:color w:val="0F4761" w:themeColor="accent1" w:themeShade="BF"/>
    </w:rPr>
  </w:style>
  <w:style w:type="paragraph" w:styleId="IntenseQuote">
    <w:name w:val="Intense Quote"/>
    <w:basedOn w:val="Normal"/>
    <w:next w:val="Normal"/>
    <w:link w:val="IntenseQuoteChar"/>
    <w:uiPriority w:val="30"/>
    <w:qFormat/>
    <w:rsid w:val="00E14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EAA"/>
    <w:rPr>
      <w:i/>
      <w:iCs/>
      <w:color w:val="0F4761" w:themeColor="accent1" w:themeShade="BF"/>
    </w:rPr>
  </w:style>
  <w:style w:type="character" w:styleId="IntenseReference">
    <w:name w:val="Intense Reference"/>
    <w:basedOn w:val="DefaultParagraphFont"/>
    <w:uiPriority w:val="32"/>
    <w:qFormat/>
    <w:rsid w:val="00E14EAA"/>
    <w:rPr>
      <w:b/>
      <w:bCs/>
      <w:smallCaps/>
      <w:color w:val="0F4761" w:themeColor="accent1" w:themeShade="BF"/>
      <w:spacing w:val="5"/>
    </w:rPr>
  </w:style>
  <w:style w:type="paragraph" w:styleId="NormalWeb">
    <w:name w:val="Normal (Web)"/>
    <w:basedOn w:val="Normal"/>
    <w:uiPriority w:val="99"/>
    <w:semiHidden/>
    <w:unhideWhenUsed/>
    <w:rsid w:val="00E14E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4EAA"/>
    <w:rPr>
      <w:b/>
      <w:bCs/>
    </w:rPr>
  </w:style>
  <w:style w:type="character" w:styleId="HTMLCode">
    <w:name w:val="HTML Code"/>
    <w:basedOn w:val="DefaultParagraphFont"/>
    <w:uiPriority w:val="99"/>
    <w:semiHidden/>
    <w:unhideWhenUsed/>
    <w:rsid w:val="00E14EAA"/>
    <w:rPr>
      <w:rFonts w:ascii="Courier New" w:eastAsia="Times New Roman" w:hAnsi="Courier New" w:cs="Courier New"/>
      <w:sz w:val="20"/>
      <w:szCs w:val="20"/>
    </w:rPr>
  </w:style>
  <w:style w:type="character" w:styleId="Emphasis">
    <w:name w:val="Emphasis"/>
    <w:basedOn w:val="DefaultParagraphFont"/>
    <w:uiPriority w:val="20"/>
    <w:qFormat/>
    <w:rsid w:val="00E14E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1153</Words>
  <Characters>7161</Characters>
  <Application>Microsoft Office Word</Application>
  <DocSecurity>0</DocSecurity>
  <Lines>132</Lines>
  <Paragraphs>78</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 Nanasaheb Shinde</dc:creator>
  <cp:keywords/>
  <dc:description/>
  <cp:lastModifiedBy>Tanishk Nanasaheb Shinde</cp:lastModifiedBy>
  <cp:revision>3</cp:revision>
  <dcterms:created xsi:type="dcterms:W3CDTF">2026-03-02T15:42:00Z</dcterms:created>
  <dcterms:modified xsi:type="dcterms:W3CDTF">2026-03-02T15:43:00Z</dcterms:modified>
</cp:coreProperties>
</file>