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1C1E6">
      <w:r>
        <w:fldChar w:fldCharType="begin"/>
      </w:r>
      <w:r>
        <w:instrText xml:space="preserve"> INCLUDEPICTURE "https://upload.wikimedia.org/wikipedia/commons/thumb/1/11/UWE_Bristol_logo.svg/1200px-UWE_Bristol_logo.svg.png" \* MERGEFORMATINET </w:instrText>
      </w:r>
      <w:r>
        <w:fldChar w:fldCharType="separate"/>
      </w:r>
      <w:r>
        <w:rPr>
          <w:lang w:val="en-US"/>
        </w:rPr>
        <w:drawing>
          <wp:inline distT="0" distB="0" distL="0" distR="0">
            <wp:extent cx="2897505" cy="1423670"/>
            <wp:effectExtent l="0" t="0" r="0" b="0"/>
            <wp:docPr id="1910034588" name="Picture 1"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34588" name="Picture 1" descr="A red sign with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21472" cy="1435166"/>
                    </a:xfrm>
                    <a:prstGeom prst="rect">
                      <a:avLst/>
                    </a:prstGeom>
                    <a:noFill/>
                    <a:ln>
                      <a:noFill/>
                    </a:ln>
                  </pic:spPr>
                </pic:pic>
              </a:graphicData>
            </a:graphic>
          </wp:inline>
        </w:drawing>
      </w:r>
      <w:r>
        <w:fldChar w:fldCharType="end"/>
      </w:r>
    </w:p>
    <w:p w14:paraId="5D76E7D2">
      <w:pPr>
        <w:jc w:val="both"/>
        <w:rPr>
          <w:rFonts w:ascii="Times New Roman" w:hAnsi="Times New Roman" w:cs="Times New Roman"/>
          <w:b/>
          <w:bCs/>
          <w:sz w:val="28"/>
          <w:szCs w:val="28"/>
        </w:rPr>
      </w:pPr>
    </w:p>
    <w:p w14:paraId="5F93F884">
      <w:pPr>
        <w:jc w:val="both"/>
        <w:rPr>
          <w:rFonts w:ascii="Times New Roman" w:hAnsi="Times New Roman" w:cs="Times New Roman"/>
          <w:b/>
          <w:bCs/>
          <w:sz w:val="28"/>
          <w:szCs w:val="28"/>
        </w:rPr>
      </w:pPr>
      <w:r>
        <w:rPr>
          <w:rFonts w:ascii="Times New Roman" w:hAnsi="Times New Roman" w:cs="Times New Roman"/>
          <w:b/>
          <w:bCs/>
          <w:sz w:val="28"/>
          <w:szCs w:val="28"/>
        </w:rPr>
        <w:t xml:space="preserve">Analysing </w:t>
      </w:r>
      <w:r>
        <w:rPr>
          <w:rFonts w:hint="default" w:ascii="Times New Roman" w:hAnsi="Times New Roman" w:cs="Times New Roman"/>
          <w:b/>
          <w:bCs/>
          <w:sz w:val="28"/>
          <w:szCs w:val="28"/>
          <w:lang w:val="en-US"/>
        </w:rPr>
        <w:t>T</w:t>
      </w:r>
      <w:r>
        <w:rPr>
          <w:rFonts w:ascii="Times New Roman" w:hAnsi="Times New Roman" w:cs="Times New Roman"/>
          <w:b/>
          <w:bCs/>
          <w:sz w:val="28"/>
          <w:szCs w:val="28"/>
        </w:rPr>
        <w:t xml:space="preserve">he </w:t>
      </w:r>
      <w:r>
        <w:rPr>
          <w:rFonts w:hint="default" w:ascii="Times New Roman" w:hAnsi="Times New Roman" w:cs="Times New Roman"/>
          <w:b/>
          <w:bCs/>
          <w:sz w:val="28"/>
          <w:szCs w:val="28"/>
          <w:lang w:val="en-US"/>
        </w:rPr>
        <w:t>I</w:t>
      </w:r>
      <w:r>
        <w:rPr>
          <w:rFonts w:ascii="Times New Roman" w:hAnsi="Times New Roman" w:cs="Times New Roman"/>
          <w:b/>
          <w:bCs/>
          <w:sz w:val="28"/>
          <w:szCs w:val="28"/>
        </w:rPr>
        <w:t xml:space="preserve">mpact </w:t>
      </w:r>
      <w:r>
        <w:rPr>
          <w:rFonts w:hint="default" w:ascii="Times New Roman" w:hAnsi="Times New Roman" w:cs="Times New Roman"/>
          <w:b/>
          <w:bCs/>
          <w:sz w:val="28"/>
          <w:szCs w:val="28"/>
          <w:lang w:val="en-US"/>
        </w:rPr>
        <w:t>o</w:t>
      </w:r>
      <w:r>
        <w:rPr>
          <w:rFonts w:ascii="Times New Roman" w:hAnsi="Times New Roman" w:cs="Times New Roman"/>
          <w:b/>
          <w:bCs/>
          <w:sz w:val="28"/>
          <w:szCs w:val="28"/>
        </w:rPr>
        <w:t xml:space="preserve">f Inflation on Grocery Spending Habits </w:t>
      </w:r>
      <w:r>
        <w:rPr>
          <w:rFonts w:hint="default" w:ascii="Times New Roman" w:hAnsi="Times New Roman" w:cs="Times New Roman"/>
          <w:b/>
          <w:bCs/>
          <w:sz w:val="28"/>
          <w:szCs w:val="28"/>
          <w:lang w:val="en-US"/>
        </w:rPr>
        <w:t>i</w:t>
      </w:r>
      <w:r>
        <w:rPr>
          <w:rFonts w:ascii="Times New Roman" w:hAnsi="Times New Roman" w:cs="Times New Roman"/>
          <w:b/>
          <w:bCs/>
          <w:sz w:val="28"/>
          <w:szCs w:val="28"/>
        </w:rPr>
        <w:t xml:space="preserve">n </w:t>
      </w:r>
      <w:r>
        <w:rPr>
          <w:rFonts w:hint="default" w:ascii="Times New Roman" w:hAnsi="Times New Roman" w:cs="Times New Roman"/>
          <w:b/>
          <w:bCs/>
          <w:sz w:val="28"/>
          <w:szCs w:val="28"/>
          <w:lang w:val="en-US"/>
        </w:rPr>
        <w:t>t</w:t>
      </w:r>
      <w:r>
        <w:rPr>
          <w:rFonts w:ascii="Times New Roman" w:hAnsi="Times New Roman" w:cs="Times New Roman"/>
          <w:b/>
          <w:bCs/>
          <w:sz w:val="28"/>
          <w:szCs w:val="28"/>
        </w:rPr>
        <w:t>he UK</w:t>
      </w:r>
    </w:p>
    <w:p w14:paraId="0A71A458">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By</w:t>
      </w:r>
    </w:p>
    <w:p w14:paraId="59E82F3C">
      <w:pPr>
        <w:rPr>
          <w:rFonts w:ascii="Times New Roman" w:hAnsi="Times New Roman" w:cs="Times New Roman"/>
          <w:b/>
          <w:bCs/>
        </w:rPr>
      </w:pPr>
    </w:p>
    <w:p w14:paraId="4C21C685">
      <w:pPr>
        <w:ind w:firstLine="2881" w:firstLineChars="1200"/>
        <w:jc w:val="both"/>
        <w:rPr>
          <w:rFonts w:ascii="Times New Roman" w:hAnsi="Times New Roman" w:cs="Times New Roman"/>
          <w:sz w:val="22"/>
          <w:szCs w:val="22"/>
          <w:lang w:val="en-US"/>
        </w:rPr>
      </w:pPr>
      <w:r>
        <w:rPr>
          <w:rFonts w:ascii="Times New Roman" w:hAnsi="Times New Roman" w:cs="Times New Roman"/>
          <w:b/>
          <w:bCs/>
        </w:rPr>
        <w:t>Student Name:</w:t>
      </w:r>
      <w:r>
        <w:rPr>
          <w:rFonts w:ascii="Times New Roman" w:hAnsi="Times New Roman" w:cs="Times New Roman"/>
          <w:b/>
          <w:bCs/>
          <w:sz w:val="23"/>
          <w:szCs w:val="23"/>
          <w:lang w:val="en-US"/>
        </w:rPr>
        <w:t xml:space="preserve"> </w:t>
      </w:r>
      <w:r>
        <w:rPr>
          <w:rFonts w:ascii="Times New Roman" w:hAnsi="Times New Roman" w:cs="Times New Roman"/>
          <w:sz w:val="23"/>
          <w:szCs w:val="23"/>
          <w:lang w:val="en-US"/>
        </w:rPr>
        <w:t>Jitendra Kumar Sah</w:t>
      </w:r>
    </w:p>
    <w:p w14:paraId="71BF28EB">
      <w:pPr>
        <w:ind w:firstLine="2881" w:firstLineChars="1200"/>
        <w:jc w:val="both"/>
        <w:rPr>
          <w:rFonts w:ascii="Times New Roman" w:hAnsi="Times New Roman" w:cs="Times New Roman"/>
          <w:b/>
          <w:bCs/>
          <w:lang w:val="en-US"/>
        </w:rPr>
      </w:pPr>
      <w:r>
        <w:rPr>
          <w:rFonts w:ascii="Times New Roman" w:hAnsi="Times New Roman" w:cs="Times New Roman"/>
          <w:b/>
          <w:bCs/>
        </w:rPr>
        <w:t>Student ID:</w:t>
      </w:r>
      <w:r>
        <w:rPr>
          <w:rFonts w:ascii="Times New Roman" w:hAnsi="Times New Roman" w:cs="Times New Roman"/>
          <w:b/>
          <w:bCs/>
          <w:lang w:val="en-US"/>
        </w:rPr>
        <w:t xml:space="preserve"> </w:t>
      </w:r>
      <w:r>
        <w:rPr>
          <w:rFonts w:ascii="Times New Roman" w:hAnsi="Times New Roman" w:cs="Times New Roman"/>
          <w:b w:val="0"/>
          <w:bCs w:val="0"/>
          <w:sz w:val="22"/>
          <w:szCs w:val="22"/>
          <w:lang w:val="en-US"/>
        </w:rPr>
        <w:t>24066305</w:t>
      </w:r>
    </w:p>
    <w:p w14:paraId="7C11465B">
      <w:pPr>
        <w:jc w:val="center"/>
        <w:rPr>
          <w:rFonts w:ascii="Times New Roman" w:hAnsi="Times New Roman" w:cs="Times New Roman"/>
          <w:b/>
          <w:bCs/>
        </w:rPr>
      </w:pPr>
    </w:p>
    <w:p w14:paraId="3AC161B7">
      <w:pPr>
        <w:pStyle w:val="18"/>
        <w:ind w:firstLine="2761" w:firstLineChars="1150"/>
        <w:jc w:val="both"/>
      </w:pPr>
      <w:r>
        <w:rPr>
          <w:rFonts w:ascii="CIDFont+F1" w:hAnsi="CIDFont+F1"/>
          <w:b/>
          <w:bCs/>
        </w:rPr>
        <w:t>Module Code</w:t>
      </w:r>
      <w:r>
        <w:rPr>
          <w:rFonts w:ascii="CIDFont+F1" w:hAnsi="CIDFont+F1"/>
          <w:sz w:val="22"/>
          <w:szCs w:val="22"/>
        </w:rPr>
        <w:t xml:space="preserve"> : UFCF9Y-60-M</w:t>
      </w:r>
    </w:p>
    <w:p w14:paraId="7CCC1942">
      <w:pPr>
        <w:pStyle w:val="18"/>
        <w:jc w:val="center"/>
        <w:rPr>
          <w:rFonts w:ascii="CIDFont+F1" w:hAnsi="CIDFont+F1"/>
          <w:sz w:val="22"/>
          <w:szCs w:val="22"/>
        </w:rPr>
      </w:pPr>
      <w:r>
        <w:rPr>
          <w:rFonts w:ascii="CIDFont+F1" w:hAnsi="CIDFont+F1"/>
          <w:b/>
          <w:bCs/>
        </w:rPr>
        <w:t xml:space="preserve">Module Title : </w:t>
      </w:r>
      <w:r>
        <w:rPr>
          <w:rFonts w:ascii="CIDFont+F1" w:hAnsi="CIDFont+F1"/>
          <w:sz w:val="22"/>
          <w:szCs w:val="22"/>
        </w:rPr>
        <w:t>CSCT Masters Project</w:t>
      </w:r>
    </w:p>
    <w:p w14:paraId="0B055BE7">
      <w:pPr>
        <w:pStyle w:val="18"/>
        <w:jc w:val="both"/>
        <w:rPr>
          <w:rFonts w:ascii="CIDFont+F1" w:hAnsi="CIDFont+F1"/>
          <w:sz w:val="22"/>
          <w:szCs w:val="22"/>
        </w:rPr>
      </w:pPr>
      <w:r>
        <w:rPr>
          <w:rFonts w:ascii="CIDFont+F1" w:hAnsi="CIDFont+F1"/>
          <w:sz w:val="22"/>
          <w:szCs w:val="22"/>
        </w:rPr>
        <w:t xml:space="preserve">                                                       </w:t>
      </w:r>
      <w:r>
        <w:rPr>
          <w:rFonts w:ascii="CIDFont+F1" w:hAnsi="CIDFont+F1"/>
          <w:b/>
          <w:bCs/>
        </w:rPr>
        <w:t>Course Name</w:t>
      </w:r>
      <w:r>
        <w:rPr>
          <w:rFonts w:ascii="CIDFont+F1" w:hAnsi="CIDFont+F1"/>
          <w:sz w:val="22"/>
          <w:szCs w:val="22"/>
        </w:rPr>
        <w:t xml:space="preserve"> : M.sc In Data Science</w:t>
      </w:r>
    </w:p>
    <w:p w14:paraId="0449F335">
      <w:pPr>
        <w:pStyle w:val="18"/>
        <w:ind w:firstLine="2761" w:firstLineChars="1150"/>
        <w:jc w:val="both"/>
        <w:rPr>
          <w:rFonts w:ascii="CIDFont+F1" w:hAnsi="CIDFont+F1"/>
          <w:sz w:val="22"/>
          <w:szCs w:val="22"/>
        </w:rPr>
      </w:pPr>
      <w:r>
        <w:rPr>
          <w:b/>
          <w:bCs/>
        </w:rPr>
        <w:t xml:space="preserve">Module Leader: </w:t>
      </w:r>
      <w:r>
        <w:rPr>
          <w:rFonts w:ascii="CIDFont+F1" w:hAnsi="CIDFont+F1"/>
          <w:sz w:val="22"/>
          <w:szCs w:val="22"/>
        </w:rPr>
        <w:t>Dr Rachel Long</w:t>
      </w:r>
    </w:p>
    <w:p w14:paraId="50622636">
      <w:pPr>
        <w:pStyle w:val="18"/>
        <w:jc w:val="both"/>
        <w:rPr>
          <w:rFonts w:ascii="CIDFont+F1" w:hAnsi="CIDFont+F1"/>
          <w:sz w:val="22"/>
          <w:szCs w:val="22"/>
        </w:rPr>
      </w:pPr>
      <w:r>
        <w:rPr>
          <w:rFonts w:ascii="CIDFont+F1" w:hAnsi="CIDFont+F1"/>
          <w:sz w:val="22"/>
          <w:szCs w:val="22"/>
        </w:rPr>
        <w:t xml:space="preserve">                                                           </w:t>
      </w:r>
      <w:r>
        <w:rPr>
          <w:rFonts w:ascii="CIDFont+F1" w:hAnsi="CIDFont+F1"/>
          <w:b/>
          <w:bCs/>
        </w:rPr>
        <w:t>Supervisor Name</w:t>
      </w:r>
      <w:r>
        <w:rPr>
          <w:rFonts w:ascii="CIDFont+F1" w:hAnsi="CIDFont+F1"/>
          <w:sz w:val="22"/>
          <w:szCs w:val="22"/>
        </w:rPr>
        <w:t xml:space="preserve"> : DR. Jason S Anquandah</w:t>
      </w:r>
    </w:p>
    <w:p w14:paraId="32D9707F">
      <w:pPr>
        <w:jc w:val="center"/>
      </w:pPr>
      <w:r>
        <w:rPr>
          <w:rFonts w:hint="default" w:ascii="CIDFont+F1" w:hAnsi="CIDFont+F1"/>
          <w:sz w:val="22"/>
          <w:szCs w:val="22"/>
          <w:lang w:val="en-US"/>
        </w:rPr>
        <w:t xml:space="preserve">      </w:t>
      </w:r>
    </w:p>
    <w:p w14:paraId="466102A6">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The project report presented in partial completion of the requirements towards the award of degree of </w:t>
      </w:r>
      <w:r>
        <w:rPr>
          <w:rFonts w:hint="default" w:ascii="Times New Roman" w:hAnsi="Times New Roman" w:cs="Times New Roman"/>
          <w:b/>
          <w:bCs/>
          <w:sz w:val="28"/>
          <w:szCs w:val="28"/>
          <w:lang w:val="en-US"/>
        </w:rPr>
        <w:t>M.</w:t>
      </w:r>
      <w:r>
        <w:rPr>
          <w:rFonts w:hint="default" w:ascii="Times New Roman" w:hAnsi="Times New Roman" w:cs="Times New Roman"/>
          <w:b/>
          <w:bCs/>
          <w:sz w:val="28"/>
          <w:szCs w:val="28"/>
        </w:rPr>
        <w:t>Sc in Data Science.</w:t>
      </w:r>
    </w:p>
    <w:p w14:paraId="47CC44EC">
      <w:pPr>
        <w:jc w:val="center"/>
        <w:rPr>
          <w:b/>
          <w:bCs/>
        </w:rPr>
      </w:pPr>
    </w:p>
    <w:p w14:paraId="0552245F">
      <w:pPr>
        <w:jc w:val="center"/>
        <w:rPr>
          <w:rFonts w:hint="default" w:ascii="Times New Roman" w:hAnsi="Times New Roman" w:cs="Times New Roman"/>
          <w:b/>
          <w:bCs/>
        </w:rPr>
      </w:pPr>
      <w:r>
        <w:rPr>
          <w:rFonts w:hint="default" w:ascii="Times New Roman" w:hAnsi="Times New Roman" w:cs="Times New Roman"/>
          <w:b/>
          <w:bCs/>
          <w:lang w:val="en-US"/>
        </w:rPr>
        <w:t xml:space="preserve">          </w:t>
      </w:r>
      <w:r>
        <w:rPr>
          <w:rFonts w:hint="default" w:ascii="Times New Roman" w:hAnsi="Times New Roman" w:cs="Times New Roman"/>
          <w:b/>
          <w:bCs/>
        </w:rPr>
        <w:t>University of the West of England Bristol</w:t>
      </w:r>
    </w:p>
    <w:p w14:paraId="7F94B47E">
      <w:pPr>
        <w:ind w:firstLine="3122" w:firstLineChars="1300"/>
        <w:jc w:val="both"/>
        <w:rPr>
          <w:rFonts w:ascii="Times New Roman" w:hAnsi="Times New Roman" w:cs="Times New Roman"/>
          <w:b/>
          <w:bCs/>
          <w:lang w:val="en-US"/>
        </w:rPr>
      </w:pPr>
      <w:bookmarkStart w:id="30" w:name="_GoBack"/>
      <w:bookmarkEnd w:id="30"/>
      <w:r>
        <w:rPr>
          <w:rFonts w:ascii="Times New Roman" w:hAnsi="Times New Roman" w:cs="Times New Roman"/>
          <w:b/>
          <w:bCs/>
          <w:lang w:val="en-US"/>
        </w:rPr>
        <w:t xml:space="preserve">Submission </w:t>
      </w:r>
      <w:r>
        <w:rPr>
          <w:rFonts w:ascii="Times New Roman" w:hAnsi="Times New Roman" w:cs="Times New Roman"/>
          <w:b/>
          <w:bCs/>
        </w:rPr>
        <w:t>Date:</w:t>
      </w:r>
      <w:r>
        <w:rPr>
          <w:rFonts w:ascii="Times New Roman" w:hAnsi="Times New Roman" w:cs="Times New Roman"/>
          <w:b/>
          <w:bCs/>
          <w:lang w:val="en-US"/>
        </w:rPr>
        <w:t xml:space="preserve"> 08-Jan-2026</w:t>
      </w:r>
    </w:p>
    <w:p w14:paraId="7869317D">
      <w:pPr>
        <w:rPr>
          <w:rFonts w:ascii="Times New Roman" w:hAnsi="Times New Roman" w:cs="Times New Roman"/>
          <w:b/>
          <w:bCs/>
        </w:rPr>
      </w:pPr>
    </w:p>
    <w:p w14:paraId="410F59D7">
      <w:pPr>
        <w:rPr>
          <w:rFonts w:ascii="Times New Roman" w:hAnsi="Times New Roman" w:cs="Times New Roman"/>
          <w:b/>
          <w:bCs/>
        </w:rPr>
      </w:pPr>
    </w:p>
    <w:p w14:paraId="72A6DD80">
      <w:pPr>
        <w:jc w:val="center"/>
        <w:rPr>
          <w:rFonts w:ascii="Times New Roman" w:hAnsi="Times New Roman" w:cs="Times New Roman"/>
          <w:b/>
          <w:bCs/>
        </w:rPr>
      </w:pPr>
    </w:p>
    <w:p w14:paraId="4CE1E747">
      <w:pPr>
        <w:jc w:val="both"/>
        <w:rPr>
          <w:rFonts w:ascii="Times New Roman" w:hAnsi="Times New Roman" w:cs="Times New Roman"/>
          <w:b/>
          <w:bCs/>
          <w:sz w:val="28"/>
          <w:szCs w:val="28"/>
        </w:rPr>
      </w:pPr>
    </w:p>
    <w:p w14:paraId="4DEB6393">
      <w:pPr>
        <w:jc w:val="both"/>
        <w:rPr>
          <w:rFonts w:ascii="Times New Roman" w:hAnsi="Times New Roman" w:cs="Times New Roman"/>
          <w:b/>
          <w:bCs/>
          <w:sz w:val="28"/>
          <w:szCs w:val="28"/>
        </w:rPr>
      </w:pPr>
    </w:p>
    <w:p w14:paraId="2170DB63">
      <w:pPr>
        <w:jc w:val="both"/>
        <w:rPr>
          <w:rFonts w:ascii="Times New Roman" w:hAnsi="Times New Roman" w:cs="Times New Roman"/>
          <w:b/>
          <w:bCs/>
          <w:sz w:val="28"/>
          <w:szCs w:val="28"/>
        </w:rPr>
      </w:pPr>
      <w:r>
        <w:rPr>
          <w:rFonts w:ascii="Times New Roman" w:hAnsi="Times New Roman" w:cs="Times New Roman"/>
          <w:b/>
          <w:bCs/>
          <w:sz w:val="28"/>
          <w:szCs w:val="28"/>
        </w:rPr>
        <w:t>Abstract</w:t>
      </w:r>
    </w:p>
    <w:p w14:paraId="0EE74069">
      <w:pPr>
        <w:spacing w:line="360" w:lineRule="auto"/>
        <w:jc w:val="both"/>
        <w:rPr>
          <w:rFonts w:ascii="Times New Roman" w:hAnsi="Times New Roman" w:cs="Times New Roman"/>
          <w:b/>
          <w:bCs/>
        </w:rPr>
      </w:pPr>
      <w:r>
        <w:rPr>
          <w:rFonts w:ascii="Times New Roman" w:hAnsi="Times New Roman" w:cs="Times New Roman"/>
        </w:rPr>
        <w:t>This thesis analyses the impact of inflation on grocery spending habits in the United Kingdom using quarterly data spanning 2000 to 2022. Adopting a quantitative time-series econometric approach, the study combines data from the Office for National Statistics and the Consumer Price Index to examine the relationship between inflation and household expenditure on food and non-alcoholic beverages. Grocery spending is modelled as a function of inflation while controlling for real household disposable income and the unemployment rate. The empirical analysis demonstrates that inflation, when examined independently, does not exert a statistically significant influence on grocery expenditure. However, once income and labour-market conditions are incorporated, inflation becomes a positive and statistically significant predictor of nominal grocery spending. Real household disposable income consistently exhibits the strongest effect, indicating that grocery expenditure is primarily driven by purchasing power rather than price changes alone. Diagnostic tests reveal non-stationarity, autocorrelation, and heteroskedasticity in the quarterly series, justifying the application of robust econometric techniques to ensure reliable inference.</w:t>
      </w:r>
    </w:p>
    <w:p w14:paraId="318D6081">
      <w:pPr>
        <w:rPr>
          <w:rFonts w:ascii="Times New Roman" w:hAnsi="Times New Roman" w:cs="Times New Roman"/>
          <w:b/>
          <w:bCs/>
        </w:rPr>
      </w:pPr>
    </w:p>
    <w:p w14:paraId="59F0B37C">
      <w:pPr>
        <w:rPr>
          <w:rFonts w:ascii="Times New Roman" w:hAnsi="Times New Roman" w:cs="Times New Roman"/>
          <w:b/>
          <w:bCs/>
        </w:rPr>
      </w:pPr>
    </w:p>
    <w:p w14:paraId="3BCF6D21">
      <w:pPr>
        <w:rPr>
          <w:rFonts w:ascii="Times New Roman" w:hAnsi="Times New Roman" w:cs="Times New Roman"/>
          <w:b/>
          <w:bCs/>
        </w:rPr>
      </w:pPr>
    </w:p>
    <w:p w14:paraId="2BB0A8BD">
      <w:pPr>
        <w:rPr>
          <w:rFonts w:ascii="Times New Roman" w:hAnsi="Times New Roman" w:cs="Times New Roman"/>
          <w:b/>
          <w:bCs/>
        </w:rPr>
      </w:pPr>
    </w:p>
    <w:p w14:paraId="1CCA6B42">
      <w:pPr>
        <w:rPr>
          <w:rFonts w:ascii="Times New Roman" w:hAnsi="Times New Roman" w:cs="Times New Roman"/>
          <w:b/>
          <w:bCs/>
        </w:rPr>
      </w:pPr>
    </w:p>
    <w:p w14:paraId="4F79380F">
      <w:pPr>
        <w:rPr>
          <w:rFonts w:ascii="Times New Roman" w:hAnsi="Times New Roman" w:cs="Times New Roman"/>
          <w:b/>
          <w:bCs/>
        </w:rPr>
      </w:pPr>
    </w:p>
    <w:p w14:paraId="3FFA2667">
      <w:pPr>
        <w:rPr>
          <w:rFonts w:ascii="Times New Roman" w:hAnsi="Times New Roman" w:cs="Times New Roman"/>
          <w:b/>
          <w:bCs/>
        </w:rPr>
      </w:pPr>
    </w:p>
    <w:p w14:paraId="1E3A9C35">
      <w:pPr>
        <w:rPr>
          <w:rFonts w:ascii="Times New Roman" w:hAnsi="Times New Roman" w:cs="Times New Roman"/>
          <w:b/>
          <w:bCs/>
        </w:rPr>
      </w:pPr>
    </w:p>
    <w:p w14:paraId="49EE7E86">
      <w:pPr>
        <w:rPr>
          <w:rFonts w:ascii="Times New Roman" w:hAnsi="Times New Roman" w:cs="Times New Roman"/>
          <w:b/>
          <w:bCs/>
        </w:rPr>
      </w:pPr>
    </w:p>
    <w:p w14:paraId="41ABF8C9">
      <w:pPr>
        <w:rPr>
          <w:rFonts w:ascii="Times New Roman" w:hAnsi="Times New Roman" w:cs="Times New Roman"/>
          <w:b/>
          <w:bCs/>
        </w:rPr>
      </w:pPr>
    </w:p>
    <w:p w14:paraId="29D76C70">
      <w:pPr>
        <w:rPr>
          <w:rFonts w:ascii="Times New Roman" w:hAnsi="Times New Roman" w:cs="Times New Roman"/>
          <w:b/>
          <w:bCs/>
        </w:rPr>
      </w:pPr>
    </w:p>
    <w:p w14:paraId="78AD7E44">
      <w:pPr>
        <w:rPr>
          <w:rFonts w:ascii="Times New Roman" w:hAnsi="Times New Roman" w:cs="Times New Roman"/>
          <w:b/>
          <w:bCs/>
        </w:rPr>
      </w:pPr>
    </w:p>
    <w:p w14:paraId="17438C0B">
      <w:pPr>
        <w:rPr>
          <w:rFonts w:ascii="Times New Roman" w:hAnsi="Times New Roman" w:cs="Times New Roman"/>
          <w:b/>
          <w:bCs/>
        </w:rPr>
      </w:pPr>
    </w:p>
    <w:p w14:paraId="7768E4CB">
      <w:pPr>
        <w:rPr>
          <w:rFonts w:ascii="Times New Roman" w:hAnsi="Times New Roman" w:cs="Times New Roman"/>
          <w:b/>
          <w:bCs/>
        </w:rPr>
      </w:pPr>
    </w:p>
    <w:p w14:paraId="791E8F7D">
      <w:pPr>
        <w:rPr>
          <w:rFonts w:ascii="Times New Roman" w:hAnsi="Times New Roman" w:cs="Times New Roman"/>
          <w:b/>
          <w:bCs/>
        </w:rPr>
      </w:pPr>
    </w:p>
    <w:p w14:paraId="03518832">
      <w:pPr>
        <w:rPr>
          <w:rFonts w:ascii="Times New Roman" w:hAnsi="Times New Roman" w:cs="Times New Roman"/>
          <w:b/>
          <w:bCs/>
        </w:rPr>
      </w:pPr>
    </w:p>
    <w:sdt>
      <w:sdtPr>
        <w:rPr>
          <w:rFonts w:ascii="Times New Roman" w:hAnsi="Times New Roman" w:cs="Times New Roman" w:eastAsiaTheme="minorHAnsi"/>
          <w:b w:val="0"/>
          <w:bCs w:val="0"/>
          <w:color w:val="auto"/>
          <w:kern w:val="2"/>
          <w:sz w:val="24"/>
          <w:szCs w:val="24"/>
          <w:lang w:val="en-GB"/>
          <w14:ligatures w14:val="standardContextual"/>
        </w:rPr>
        <w:id w:val="156420903"/>
        <w:docPartObj>
          <w:docPartGallery w:val="Table of Contents"/>
          <w:docPartUnique/>
        </w:docPartObj>
      </w:sdtPr>
      <w:sdtEndPr>
        <w:rPr>
          <w:rFonts w:ascii="Times New Roman" w:hAnsi="Times New Roman" w:cs="Times New Roman" w:eastAsiaTheme="minorHAnsi"/>
          <w:b w:val="0"/>
          <w:bCs w:val="0"/>
          <w:color w:val="auto"/>
          <w:kern w:val="2"/>
          <w:sz w:val="24"/>
          <w:szCs w:val="24"/>
          <w:lang w:val="en-GB"/>
          <w14:ligatures w14:val="standardContextual"/>
        </w:rPr>
      </w:sdtEndPr>
      <w:sdtContent>
        <w:p w14:paraId="3C5209F4">
          <w:pPr>
            <w:pStyle w:val="61"/>
            <w:spacing w:line="360" w:lineRule="auto"/>
            <w:jc w:val="center"/>
            <w:rPr>
              <w:rFonts w:ascii="Times New Roman" w:hAnsi="Times New Roman" w:cs="Times New Roman"/>
            </w:rPr>
          </w:pPr>
          <w:r>
            <w:rPr>
              <w:rFonts w:ascii="Times New Roman" w:hAnsi="Times New Roman" w:cs="Times New Roman"/>
            </w:rPr>
            <w:t>Table of Contents</w:t>
          </w:r>
        </w:p>
        <w:p w14:paraId="00904573">
          <w:pPr>
            <w:pStyle w:val="24"/>
            <w:tabs>
              <w:tab w:val="right" w:leader="dot" w:pos="9016"/>
            </w:tabs>
            <w:spacing w:line="360" w:lineRule="auto"/>
            <w:rPr>
              <w:rFonts w:ascii="Times New Roman" w:hAnsi="Times New Roman" w:cs="Times New Roman" w:eastAsiaTheme="minorEastAsia"/>
              <w:b w:val="0"/>
              <w:bCs w:val="0"/>
              <w:caps w:val="0"/>
              <w:sz w:val="24"/>
              <w:szCs w:val="24"/>
              <w:lang w:eastAsia="en-GB"/>
            </w:rPr>
          </w:pPr>
          <w:r>
            <w:rPr>
              <w:rFonts w:ascii="Times New Roman" w:hAnsi="Times New Roman" w:cs="Times New Roman"/>
              <w:b w:val="0"/>
              <w:bCs w:val="0"/>
            </w:rPr>
            <w:fldChar w:fldCharType="begin"/>
          </w:r>
          <w:r>
            <w:rPr>
              <w:rFonts w:ascii="Times New Roman" w:hAnsi="Times New Roman" w:cs="Times New Roman"/>
            </w:rPr>
            <w:instrText xml:space="preserve"> TOC \o "1-3" \h \z \u </w:instrText>
          </w:r>
          <w:r>
            <w:rPr>
              <w:rFonts w:ascii="Times New Roman" w:hAnsi="Times New Roman" w:cs="Times New Roman"/>
              <w:b w:val="0"/>
              <w:bCs w:val="0"/>
            </w:rPr>
            <w:fldChar w:fldCharType="separate"/>
          </w:r>
          <w:r>
            <w:fldChar w:fldCharType="begin"/>
          </w:r>
          <w:r>
            <w:instrText xml:space="preserve"> HYPERLINK \l "_Toc218351963" </w:instrText>
          </w:r>
          <w:r>
            <w:fldChar w:fldCharType="separate"/>
          </w:r>
          <w:r>
            <w:rPr>
              <w:rStyle w:val="17"/>
              <w:rFonts w:ascii="Times New Roman" w:hAnsi="Times New Roman" w:cs="Times New Roman"/>
            </w:rPr>
            <w:t>1. 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_Toc218351963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7D1B7B90">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"_Toc218351964" </w:instrText>
          </w:r>
          <w:r>
            <w:fldChar w:fldCharType="separate"/>
          </w:r>
          <w:r>
            <w:rPr>
              <w:rStyle w:val="17"/>
              <w:rFonts w:ascii="Times New Roman" w:hAnsi="Times New Roman" w:cs="Times New Roman"/>
            </w:rPr>
            <w:t>1.1 Background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_Toc218351964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313FA1B9">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"_Toc218351965" </w:instrText>
          </w:r>
          <w:r>
            <w:fldChar w:fldCharType="separate"/>
          </w:r>
          <w:r>
            <w:rPr>
              <w:rStyle w:val="17"/>
              <w:rFonts w:ascii="Times New Roman" w:hAnsi="Times New Roman" w:cs="Times New Roman"/>
            </w:rPr>
            <w:t>1.2 Research Objectives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_Toc218351965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41264A23">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"_Toc218351966" </w:instrText>
          </w:r>
          <w:r>
            <w:fldChar w:fldCharType="separate"/>
          </w:r>
          <w:r>
            <w:rPr>
              <w:rStyle w:val="17"/>
              <w:rFonts w:ascii="Times New Roman" w:hAnsi="Times New Roman" w:cs="Times New Roman"/>
            </w:rPr>
            <w:t>1.3 Research Hypotheses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_Toc218351966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317A59E1">
          <w:pPr>
            <w:pStyle w:val="24"/>
            <w:tabs>
              <w:tab w:val="right" w:leader="dot" w:pos="9016"/>
            </w:tabs>
            <w:spacing w:line="360" w:lineRule="auto"/>
            <w:rPr>
              <w:rFonts w:ascii="Times New Roman" w:hAnsi="Times New Roman" w:cs="Times New Roman" w:eastAsiaTheme="minorEastAsia"/>
              <w:b w:val="0"/>
              <w:bCs w:val="0"/>
              <w:caps w:val="0"/>
              <w:sz w:val="24"/>
              <w:szCs w:val="24"/>
              <w:lang w:eastAsia="en-GB"/>
            </w:rPr>
          </w:pPr>
          <w:r>
            <w:fldChar w:fldCharType="begin"/>
          </w:r>
          <w:r>
            <w:instrText xml:space="preserve"> HYPERLINK \l "_Toc218351967" </w:instrText>
          </w:r>
          <w:r>
            <w:fldChar w:fldCharType="separate"/>
          </w:r>
          <w:r>
            <w:rPr>
              <w:rStyle w:val="17"/>
              <w:rFonts w:ascii="Times New Roman" w:hAnsi="Times New Roman" w:cs="Times New Roman"/>
            </w:rPr>
            <w:t>2. Literature Review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_Toc218351967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6DE73518">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"_Toc218351968" </w:instrText>
          </w:r>
          <w:r>
            <w:fldChar w:fldCharType="separate"/>
          </w:r>
          <w:r>
            <w:rPr>
              <w:rStyle w:val="17"/>
              <w:rFonts w:ascii="Times New Roman" w:hAnsi="Times New Roman" w:cs="Times New Roman"/>
            </w:rPr>
            <w:t>2.1 Overview of UK Inflation Trends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_Toc218351968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50DCA84B">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"_Toc218351969" </w:instrText>
          </w:r>
          <w:r>
            <w:fldChar w:fldCharType="separate"/>
          </w:r>
          <w:r>
            <w:rPr>
              <w:rStyle w:val="17"/>
              <w:rFonts w:ascii="Times New Roman" w:hAnsi="Times New Roman" w:cs="Times New Roman"/>
            </w:rPr>
            <w:t>2.2 Theoretical Framework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_Toc218351969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021D9DC5">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"_Toc218351970" </w:instrText>
          </w:r>
          <w:r>
            <w:fldChar w:fldCharType="separate"/>
          </w:r>
          <w:r>
            <w:rPr>
              <w:rStyle w:val="17"/>
              <w:rFonts w:ascii="Times New Roman" w:hAnsi="Times New Roman" w:cs="Times New Roman"/>
            </w:rPr>
            <w:t>2.3 Empirical Studies on Spending Behaviour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_Toc218351970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06207398">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"_Toc218351971" </w:instrText>
          </w:r>
          <w:r>
            <w:fldChar w:fldCharType="separate"/>
          </w:r>
          <w:r>
            <w:rPr>
              <w:rStyle w:val="17"/>
              <w:rFonts w:ascii="Times New Roman" w:hAnsi="Times New Roman" w:cs="Times New Roman"/>
            </w:rPr>
            <w:t>2.4 Research Gap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_Toc218351971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122EF19B">
          <w:pPr>
            <w:pStyle w:val="24"/>
            <w:tabs>
              <w:tab w:val="right" w:leader="dot" w:pos="9016"/>
            </w:tabs>
            <w:spacing w:line="360" w:lineRule="auto"/>
            <w:rPr>
              <w:rFonts w:ascii="Times New Roman" w:hAnsi="Times New Roman" w:cs="Times New Roman" w:eastAsiaTheme="minorEastAsia"/>
              <w:b w:val="0"/>
              <w:bCs w:val="0"/>
              <w:caps w:val="0"/>
              <w:sz w:val="24"/>
              <w:szCs w:val="24"/>
              <w:lang w:eastAsia="en-GB"/>
            </w:rPr>
          </w:pPr>
          <w:r>
            <w:fldChar w:fldCharType="begin"/>
          </w:r>
          <w:r>
            <w:instrText xml:space="preserve"> HYPERLINK \l "_Toc218351972" </w:instrText>
          </w:r>
          <w:r>
            <w:fldChar w:fldCharType="separate"/>
          </w:r>
          <w:r>
            <w:rPr>
              <w:rStyle w:val="17"/>
              <w:rFonts w:ascii="Times New Roman" w:hAnsi="Times New Roman" w:cs="Times New Roman"/>
            </w:rPr>
            <w:t>3. Data and Sources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_Toc218351972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57B3310E">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"_Toc218351973" </w:instrText>
          </w:r>
          <w:r>
            <w:fldChar w:fldCharType="separate"/>
          </w:r>
          <w:r>
            <w:rPr>
              <w:rStyle w:val="17"/>
              <w:rFonts w:ascii="Times New Roman" w:hAnsi="Times New Roman" w:cs="Times New Roman"/>
            </w:rPr>
            <w:t>3.1 Description of Datasets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_Toc218351973 \h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fldChar w:fldCharType="end"/>
          </w:r>
        </w:p>
        <w:p w14:paraId="1602BFC5">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"_Toc218351974" </w:instrText>
          </w:r>
          <w:r>
            <w:fldChar w:fldCharType="separate"/>
          </w:r>
          <w:r>
            <w:rPr>
              <w:rStyle w:val="17"/>
              <w:rFonts w:ascii="Times New Roman" w:hAnsi="Times New Roman" w:cs="Times New Roman"/>
            </w:rPr>
            <w:t>3.2 Variable Definitions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_Toc218351974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592C5F65">
          <w:pPr>
            <w:pStyle w:val="24"/>
            <w:tabs>
              <w:tab w:val="right" w:leader="dot" w:pos="9016"/>
            </w:tabs>
            <w:spacing w:line="360" w:lineRule="auto"/>
            <w:rPr>
              <w:rFonts w:ascii="Times New Roman" w:hAnsi="Times New Roman" w:cs="Times New Roman" w:eastAsiaTheme="minorEastAsia"/>
              <w:b w:val="0"/>
              <w:bCs w:val="0"/>
              <w:caps w:val="0"/>
              <w:sz w:val="24"/>
              <w:szCs w:val="24"/>
              <w:lang w:eastAsia="en-GB"/>
            </w:rPr>
          </w:pPr>
          <w:r>
            <w:fldChar w:fldCharType="begin"/>
          </w:r>
          <w:r>
            <w:instrText xml:space="preserve"> HYPERLINK \l "_Toc218351975" </w:instrText>
          </w:r>
          <w:r>
            <w:fldChar w:fldCharType="separate"/>
          </w:r>
          <w:r>
            <w:rPr>
              <w:rStyle w:val="17"/>
              <w:rFonts w:ascii="Times New Roman" w:hAnsi="Times New Roman" w:cs="Times New Roman"/>
            </w:rPr>
            <w:t>5. Methodology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_Toc218351975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58A2432A">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"_Toc218351976" </w:instrText>
          </w:r>
          <w:r>
            <w:fldChar w:fldCharType="separate"/>
          </w:r>
          <w:r>
            <w:rPr>
              <w:rStyle w:val="17"/>
              <w:rFonts w:ascii="Times New Roman" w:hAnsi="Times New Roman" w:cs="Times New Roman"/>
            </w:rPr>
            <w:t>5.1 Research Design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_Toc218351976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6C8644C6">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"_Toc218351977" </w:instrText>
          </w:r>
          <w:r>
            <w:fldChar w:fldCharType="separate"/>
          </w:r>
          <w:r>
            <w:rPr>
              <w:rStyle w:val="17"/>
              <w:rFonts w:ascii="Times New Roman" w:hAnsi="Times New Roman" w:cs="Times New Roman"/>
            </w:rPr>
            <w:t>5.2 Data Preparation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_Toc218351977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25DCAD71">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"_Toc218351978" </w:instrText>
          </w:r>
          <w:r>
            <w:fldChar w:fldCharType="separate"/>
          </w:r>
          <w:r>
            <w:rPr>
              <w:rStyle w:val="17"/>
              <w:rFonts w:ascii="Times New Roman" w:hAnsi="Times New Roman" w:cs="Times New Roman"/>
            </w:rPr>
            <w:t>5.3 Model Development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_Toc218351978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2D2BC05F">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"_Toc218351979" </w:instrText>
          </w:r>
          <w:r>
            <w:fldChar w:fldCharType="separate"/>
          </w:r>
          <w:r>
            <w:rPr>
              <w:rStyle w:val="17"/>
              <w:rFonts w:ascii="Times New Roman" w:hAnsi="Times New Roman" w:cs="Times New Roman"/>
            </w:rPr>
            <w:t>5.4 Diagnostic Tests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_Toc218351979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49C58DE5">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"_Toc218351980" </w:instrText>
          </w:r>
          <w:r>
            <w:fldChar w:fldCharType="separate"/>
          </w:r>
          <w:r>
            <w:rPr>
              <w:rStyle w:val="17"/>
              <w:rFonts w:ascii="Times New Roman" w:hAnsi="Times New Roman" w:cs="Times New Roman"/>
            </w:rPr>
            <w:t>5.5 Sensitivity and Robustness Checks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_Toc218351980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12BED160">
          <w:pPr>
            <w:pStyle w:val="24"/>
            <w:tabs>
              <w:tab w:val="right" w:leader="dot" w:pos="9016"/>
            </w:tabs>
            <w:spacing w:line="360" w:lineRule="auto"/>
            <w:rPr>
              <w:rFonts w:ascii="Times New Roman" w:hAnsi="Times New Roman" w:cs="Times New Roman" w:eastAsiaTheme="minorEastAsia"/>
              <w:b w:val="0"/>
              <w:bCs w:val="0"/>
              <w:caps w:val="0"/>
              <w:sz w:val="24"/>
              <w:szCs w:val="24"/>
              <w:lang w:eastAsia="en-GB"/>
            </w:rPr>
          </w:pPr>
          <w:r>
            <w:fldChar w:fldCharType="begin"/>
          </w:r>
          <w:r>
            <w:instrText xml:space="preserve"> HYPERLINK \l "_Toc218351981" </w:instrText>
          </w:r>
          <w:r>
            <w:fldChar w:fldCharType="separate"/>
          </w:r>
          <w:r>
            <w:rPr>
              <w:rStyle w:val="17"/>
              <w:rFonts w:ascii="Times New Roman" w:hAnsi="Times New Roman" w:cs="Times New Roman"/>
            </w:rPr>
            <w:t>6. Results and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_Toc218351981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286B99B9">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"_Toc218351982" </w:instrText>
          </w:r>
          <w:r>
            <w:fldChar w:fldCharType="separate"/>
          </w:r>
          <w:r>
            <w:rPr>
              <w:rStyle w:val="17"/>
              <w:rFonts w:ascii="Times New Roman" w:hAnsi="Times New Roman" w:cs="Times New Roman"/>
            </w:rPr>
            <w:t>6.1 Descriptive Statistics and Trends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_Toc218351982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4F4C91A7">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"_Toc218351983" </w:instrText>
          </w:r>
          <w:r>
            <w:fldChar w:fldCharType="separate"/>
          </w:r>
          <w:r>
            <w:rPr>
              <w:rStyle w:val="17"/>
              <w:rFonts w:ascii="Times New Roman" w:hAnsi="Times New Roman" w:cs="Times New Roman"/>
            </w:rPr>
            <w:t>6.2 Regression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_Toc218351983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0A945C0E">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"_Toc218351984" </w:instrText>
          </w:r>
          <w:r>
            <w:fldChar w:fldCharType="separate"/>
          </w:r>
          <w:r>
            <w:rPr>
              <w:rStyle w:val="17"/>
              <w:rFonts w:ascii="Times New Roman" w:hAnsi="Times New Roman" w:cs="Times New Roman"/>
            </w:rPr>
            <w:t>6.3 Diagnostic Test Results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_Toc218351984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4FE905D5">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"_Toc218351985" </w:instrText>
          </w:r>
          <w:r>
            <w:fldChar w:fldCharType="separate"/>
          </w:r>
          <w:r>
            <w:rPr>
              <w:rStyle w:val="17"/>
              <w:rFonts w:ascii="Times New Roman" w:hAnsi="Times New Roman" w:cs="Times New Roman"/>
            </w:rPr>
            <w:t>6.4 Discussion of Findings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_Toc218351985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226FCB95">
          <w:pPr>
            <w:pStyle w:val="24"/>
            <w:tabs>
              <w:tab w:val="right" w:leader="dot" w:pos="9016"/>
            </w:tabs>
            <w:spacing w:line="360" w:lineRule="auto"/>
            <w:rPr>
              <w:rFonts w:ascii="Times New Roman" w:hAnsi="Times New Roman" w:cs="Times New Roman" w:eastAsiaTheme="minorEastAsia"/>
              <w:b w:val="0"/>
              <w:bCs w:val="0"/>
              <w:caps w:val="0"/>
              <w:sz w:val="24"/>
              <w:szCs w:val="24"/>
              <w:lang w:eastAsia="en-GB"/>
            </w:rPr>
          </w:pPr>
          <w:r>
            <w:fldChar w:fldCharType="begin"/>
          </w:r>
          <w:r>
            <w:instrText xml:space="preserve"> HYPERLINK \l "_Toc218351986" </w:instrText>
          </w:r>
          <w:r>
            <w:fldChar w:fldCharType="separate"/>
          </w:r>
          <w:r>
            <w:rPr>
              <w:rStyle w:val="17"/>
              <w:rFonts w:ascii="Times New Roman" w:hAnsi="Times New Roman" w:cs="Times New Roman"/>
            </w:rPr>
            <w:t>7. Expected Conclusions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_Toc218351986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14:paraId="16B3397B">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"_Toc218351987" </w:instrText>
          </w:r>
          <w:r>
            <w:fldChar w:fldCharType="separate"/>
          </w:r>
          <w:r>
            <w:rPr>
              <w:rStyle w:val="17"/>
              <w:rFonts w:ascii="Times New Roman" w:hAnsi="Times New Roman" w:cs="Times New Roman"/>
            </w:rPr>
            <w:t>7.1 Summary of Key Findings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_Toc218351987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14:paraId="3BAF2676">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"_Toc218351988" </w:instrText>
          </w:r>
          <w:r>
            <w:fldChar w:fldCharType="separate"/>
          </w:r>
          <w:r>
            <w:rPr>
              <w:rStyle w:val="17"/>
              <w:rFonts w:ascii="Times New Roman" w:hAnsi="Times New Roman" w:cs="Times New Roman"/>
            </w:rPr>
            <w:t>7.2 Implications (Policy, Retail, Consumer Behaviour)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_Toc218351988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14:paraId="19D8498C">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"_Toc218351989" </w:instrText>
          </w:r>
          <w:r>
            <w:fldChar w:fldCharType="separate"/>
          </w:r>
          <w:r>
            <w:rPr>
              <w:rStyle w:val="17"/>
              <w:rFonts w:ascii="Times New Roman" w:hAnsi="Times New Roman" w:cs="Times New Roman"/>
            </w:rPr>
            <w:t>7.3 Limitations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_Toc218351989 \h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14:paraId="073729BE">
          <w:pPr>
            <w:pStyle w:val="25"/>
            <w:tabs>
              <w:tab w:val="right" w:leader="dot" w:pos="9016"/>
            </w:tabs>
            <w:spacing w:line="360" w:lineRule="auto"/>
            <w:rPr>
              <w:rFonts w:ascii="Times New Roman" w:hAnsi="Times New Roman" w:cs="Times New Roman" w:eastAsiaTheme="minorEastAsia"/>
              <w:smallCaps w:val="0"/>
              <w:sz w:val="24"/>
              <w:szCs w:val="24"/>
              <w:lang w:eastAsia="en-GB"/>
            </w:rPr>
          </w:pPr>
          <w:r>
            <w:fldChar w:fldCharType="begin"/>
          </w:r>
          <w:r>
            <w:instrText xml:space="preserve"> HYPERLINK \l "_Toc218351990" </w:instrText>
          </w:r>
          <w:r>
            <w:fldChar w:fldCharType="separate"/>
          </w:r>
          <w:r>
            <w:rPr>
              <w:rStyle w:val="17"/>
              <w:rFonts w:ascii="Times New Roman" w:hAnsi="Times New Roman" w:cs="Times New Roman"/>
            </w:rPr>
            <w:t>7.4 Recommendations for Future Research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_Toc218351990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0DF29D26">
          <w:pPr>
            <w:pStyle w:val="24"/>
            <w:tabs>
              <w:tab w:val="right" w:leader="dot" w:pos="9016"/>
            </w:tabs>
            <w:spacing w:line="360" w:lineRule="auto"/>
            <w:rPr>
              <w:rFonts w:ascii="Times New Roman" w:hAnsi="Times New Roman" w:cs="Times New Roman" w:eastAsiaTheme="minorEastAsia"/>
              <w:b w:val="0"/>
              <w:bCs w:val="0"/>
              <w:caps w:val="0"/>
              <w:sz w:val="24"/>
              <w:szCs w:val="24"/>
              <w:lang w:eastAsia="en-GB"/>
            </w:rPr>
          </w:pPr>
          <w:r>
            <w:fldChar w:fldCharType="begin"/>
          </w:r>
          <w:r>
            <w:instrText xml:space="preserve"> HYPERLINK \l "_Toc218351991" </w:instrText>
          </w:r>
          <w:r>
            <w:fldChar w:fldCharType="separate"/>
          </w:r>
          <w:r>
            <w:rPr>
              <w:rStyle w:val="17"/>
              <w:rFonts w:ascii="Times New Roman" w:hAnsi="Times New Roman" w:cs="Times New Roman"/>
            </w:rPr>
            <w:t>8. References</w:t>
          </w:r>
          <w:r>
            <w:rPr>
              <w:rFonts w:ascii="Times New Roman" w:hAnsi="Times New Roman" w:cs="Times New Roman"/>
            </w:rPr>
            <w:tab/>
          </w:r>
          <w:r>
            <w:rPr>
              <w:rFonts w:hint="default" w:ascii="Times New Roman" w:hAnsi="Times New Roman" w:cs="Times New Roman"/>
              <w:lang w:val="en-US"/>
            </w:rPr>
            <w:t>2</w:t>
          </w:r>
          <w:r>
            <w:rPr>
              <w:rFonts w:ascii="Times New Roman" w:hAnsi="Times New Roman" w:cs="Times New Roman"/>
            </w:rPr>
            <w:fldChar w:fldCharType="begin"/>
          </w:r>
          <w:r>
            <w:rPr>
              <w:rFonts w:ascii="Times New Roman" w:hAnsi="Times New Roman" w:cs="Times New Roman"/>
            </w:rPr>
            <w:instrText xml:space="preserve"> PAGEREF _Toc218351991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6EFF6496">
          <w:pPr>
            <w:pStyle w:val="24"/>
            <w:tabs>
              <w:tab w:val="right" w:leader="dot" w:pos="9016"/>
            </w:tabs>
            <w:spacing w:line="360" w:lineRule="auto"/>
            <w:rPr>
              <w:rFonts w:ascii="Times New Roman" w:hAnsi="Times New Roman" w:cs="Times New Roman" w:eastAsiaTheme="minorEastAsia"/>
              <w:b w:val="0"/>
              <w:bCs w:val="0"/>
              <w:caps w:val="0"/>
              <w:sz w:val="24"/>
              <w:szCs w:val="24"/>
              <w:lang w:eastAsia="en-GB"/>
            </w:rPr>
          </w:pPr>
          <w:r>
            <w:fldChar w:fldCharType="begin"/>
          </w:r>
          <w:r>
            <w:instrText xml:space="preserve"> HYPERLINK \l "_Toc218351992" </w:instrText>
          </w:r>
          <w:r>
            <w:fldChar w:fldCharType="separate"/>
          </w:r>
          <w:r>
            <w:rPr>
              <w:rStyle w:val="17"/>
              <w:rFonts w:ascii="Times New Roman" w:hAnsi="Times New Roman" w:cs="Times New Roman"/>
            </w:rPr>
            <w:t>Appendix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_Toc218351992 \h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fldChar w:fldCharType="end"/>
          </w:r>
        </w:p>
        <w:p w14:paraId="2BCF6CBA">
          <w:pPr>
            <w:spacing w:line="360" w:lineRule="auto"/>
          </w:pPr>
          <w:r>
            <w:rPr>
              <w:rFonts w:ascii="Times New Roman" w:hAnsi="Times New Roman" w:cs="Times New Roman"/>
              <w:b/>
              <w:bCs/>
            </w:rPr>
            <w:fldChar w:fldCharType="end"/>
          </w:r>
        </w:p>
      </w:sdtContent>
    </w:sdt>
    <w:p w14:paraId="3E02139F">
      <w:pPr>
        <w:rPr>
          <w:rFonts w:ascii="Times New Roman" w:hAnsi="Times New Roman" w:cs="Times New Roman"/>
          <w:b/>
          <w:bCs/>
        </w:rPr>
      </w:pPr>
    </w:p>
    <w:p w14:paraId="0A007664">
      <w:pPr>
        <w:pStyle w:val="2"/>
        <w:rPr>
          <w:b w:val="0"/>
        </w:rPr>
      </w:pPr>
      <w:bookmarkStart w:id="0" w:name="_Toc218351963"/>
      <w:r>
        <w:t>1. Introduction</w:t>
      </w:r>
      <w:bookmarkEnd w:id="0"/>
    </w:p>
    <w:p w14:paraId="05255B1C">
      <w:pPr>
        <w:pStyle w:val="3"/>
        <w:rPr>
          <w:b w:val="0"/>
        </w:rPr>
      </w:pPr>
      <w:bookmarkStart w:id="1" w:name="_Toc218351964"/>
      <w:r>
        <w:t>1.1 Background of the Study</w:t>
      </w:r>
      <w:bookmarkEnd w:id="1"/>
      <w:r>
        <w:t xml:space="preserve"> </w:t>
      </w:r>
    </w:p>
    <w:p w14:paraId="4ECF3E53">
      <w:pPr>
        <w:spacing w:line="360" w:lineRule="auto"/>
        <w:jc w:val="both"/>
        <w:rPr>
          <w:rFonts w:ascii="Times New Roman" w:hAnsi="Times New Roman" w:cs="Times New Roman"/>
        </w:rPr>
      </w:pPr>
      <w:r>
        <w:rPr>
          <w:rFonts w:ascii="Times New Roman" w:hAnsi="Times New Roman" w:cs="Times New Roman"/>
        </w:rPr>
        <w:t>Inflation has been a long-term and significant aspect of the UK economic environment, that has impacted the purchasing power of households, business choices and the priorities set by the national policy. In the past, the UK has been going through phases of stability and inflationary pressures, as happened in the early 2000s and the consequences of the 2008 Global Financial Crisis (Davies, 2021). More recently, economic shocks induced by the COVID-19 pandemic created extreme inflationary waves, which were associated with bottlenecks in international supply chains, labour supply, transport effects and significant spikes in energy prices (Office for National Statistics, 2023). All these converging forces have led to some of the highest inflation rates in the last 40 years, leading to increased financial pressure among households in the United Kingdom.</w:t>
      </w:r>
    </w:p>
    <w:p w14:paraId="7FDE8033">
      <w:pPr>
        <w:spacing w:line="360" w:lineRule="auto"/>
        <w:jc w:val="both"/>
        <w:rPr>
          <w:rFonts w:ascii="Times New Roman" w:hAnsi="Times New Roman" w:cs="Times New Roman"/>
        </w:rPr>
      </w:pPr>
      <w:r>
        <w:rPr>
          <w:rFonts w:ascii="Times New Roman" w:hAnsi="Times New Roman" w:cs="Times New Roman"/>
        </w:rPr>
        <w:t>The increased price of living has in turn emerged as one of the most critical economic and political problems of the 2020s, and inflation of food prices has a more prominent role (Onita, 2023). Grocery spending is a large and irreplaceable household budget contingent, and therefore, it is very volatile to inflationary shocks. Food consumption as opposed to discretionary spending categories cannot be readily deferred or replaced, compelling households to have to bear higher prices by modifying their behavior, which can take the form of switching to less expensive products or reducing the consumption rates (Buss and Wallner, 2022). The response of UK households to inflation in their expenditure on groceries is also important to understand how to measure household welfare, how to design a policy intervention to target households, and how to help retailers manage the demand in economic uncertainty.</w:t>
      </w:r>
    </w:p>
    <w:p w14:paraId="5966B4E0">
      <w:pPr>
        <w:pStyle w:val="3"/>
      </w:pPr>
      <w:bookmarkStart w:id="2" w:name="_Toc218351965"/>
      <w:r>
        <w:t>1.2 Research Objectives</w:t>
      </w:r>
      <w:bookmarkEnd w:id="2"/>
      <w:r>
        <w:t xml:space="preserve"> </w:t>
      </w:r>
    </w:p>
    <w:p w14:paraId="5D1460A5">
      <w:pPr>
        <w:spacing w:line="360" w:lineRule="auto"/>
        <w:jc w:val="both"/>
        <w:rPr>
          <w:rFonts w:ascii="Times New Roman" w:hAnsi="Times New Roman" w:cs="Times New Roman"/>
        </w:rPr>
      </w:pPr>
      <w:r>
        <w:rPr>
          <w:rFonts w:ascii="Times New Roman" w:hAnsi="Times New Roman" w:cs="Times New Roman"/>
        </w:rPr>
        <w:t>The overall aim of this research is to offer an empirically based analytical explanation of the impact of inflation on grocery spending behaviour in the United Kingdom on a detailed basis. A large portion of the available literature is based on short-term datasets or general categories of expenditures that do not reveal food dynamics (Carruth and Dickerson, 2003; Muellbauer, 2016). In this research, the limitation is aimed to be resolved based on the long term data of 2000-2023 and incorporating numerous sources of secondary data to create a complete analytical dataset.</w:t>
      </w:r>
    </w:p>
    <w:p w14:paraId="55B0CF9E">
      <w:pPr>
        <w:spacing w:line="360" w:lineRule="auto"/>
        <w:jc w:val="both"/>
        <w:rPr>
          <w:rFonts w:ascii="Times New Roman" w:hAnsi="Times New Roman" w:cs="Times New Roman"/>
          <w:b/>
          <w:bCs/>
        </w:rPr>
      </w:pPr>
      <w:r>
        <w:rPr>
          <w:rFonts w:ascii="Times New Roman" w:hAnsi="Times New Roman" w:cs="Times New Roman"/>
          <w:b/>
          <w:bCs/>
        </w:rPr>
        <w:t>Primary Objective</w:t>
      </w:r>
    </w:p>
    <w:p w14:paraId="24564ADC">
      <w:pPr>
        <w:spacing w:line="360" w:lineRule="auto"/>
        <w:jc w:val="both"/>
        <w:rPr>
          <w:rFonts w:ascii="Times New Roman" w:hAnsi="Times New Roman" w:cs="Times New Roman"/>
        </w:rPr>
      </w:pPr>
      <w:r>
        <w:rPr>
          <w:rFonts w:ascii="Times New Roman" w:hAnsi="Times New Roman" w:cs="Times New Roman"/>
        </w:rPr>
        <w:t>The main goal is to determine the statistical relationship between the inflation factors that can be gauged using Consumer Price Index (CPI) and the level of grocery expenditure in the UK. These involve the evaluation of the important effect of inflation on the expenditure on groceries and the change in the relationship throughout the period of two decades considered.</w:t>
      </w:r>
    </w:p>
    <w:p w14:paraId="1BB9CE19">
      <w:pPr>
        <w:spacing w:line="360" w:lineRule="auto"/>
        <w:jc w:val="both"/>
        <w:rPr>
          <w:rFonts w:ascii="Times New Roman" w:hAnsi="Times New Roman" w:cs="Times New Roman"/>
          <w:b/>
          <w:bCs/>
        </w:rPr>
      </w:pPr>
      <w:r>
        <w:rPr>
          <w:rFonts w:ascii="Times New Roman" w:hAnsi="Times New Roman" w:cs="Times New Roman"/>
          <w:b/>
          <w:bCs/>
        </w:rPr>
        <w:t>Secondary Objectives</w:t>
      </w:r>
    </w:p>
    <w:p w14:paraId="4FA9929B">
      <w:pPr>
        <w:spacing w:line="360" w:lineRule="auto"/>
        <w:jc w:val="both"/>
        <w:rPr>
          <w:rFonts w:ascii="Times New Roman" w:hAnsi="Times New Roman" w:cs="Times New Roman"/>
        </w:rPr>
      </w:pPr>
      <w:r>
        <w:rPr>
          <w:rFonts w:ascii="Times New Roman" w:hAnsi="Times New Roman" w:cs="Times New Roman"/>
        </w:rPr>
        <w:t>To support the main objective, the study includes the following secondary goals:</w:t>
      </w:r>
    </w:p>
    <w:p w14:paraId="489A2F7E">
      <w:pPr>
        <w:numPr>
          <w:ilvl w:val="0"/>
          <w:numId w:val="1"/>
        </w:numPr>
        <w:spacing w:line="360" w:lineRule="auto"/>
        <w:jc w:val="both"/>
        <w:rPr>
          <w:rFonts w:ascii="Times New Roman" w:hAnsi="Times New Roman" w:cs="Times New Roman"/>
        </w:rPr>
      </w:pPr>
      <w:r>
        <w:rPr>
          <w:rFonts w:ascii="Times New Roman" w:hAnsi="Times New Roman" w:cs="Times New Roman"/>
        </w:rPr>
        <w:t>To merge and harmonise multiple datasets including UK CPI, Retail Sales Pounds Data, and Consumer Trends data into a unified time series suitable for econometric analysis.</w:t>
      </w:r>
    </w:p>
    <w:p w14:paraId="2C392F77">
      <w:pPr>
        <w:numPr>
          <w:ilvl w:val="0"/>
          <w:numId w:val="1"/>
        </w:numPr>
        <w:spacing w:line="360" w:lineRule="auto"/>
        <w:jc w:val="both"/>
        <w:rPr>
          <w:rFonts w:ascii="Times New Roman" w:hAnsi="Times New Roman" w:cs="Times New Roman"/>
        </w:rPr>
      </w:pPr>
      <w:r>
        <w:rPr>
          <w:rFonts w:ascii="Times New Roman" w:hAnsi="Times New Roman" w:cs="Times New Roman"/>
        </w:rPr>
        <w:t>To conduct regression analysis incorporating control variables such as household disposable income and unemployment rates, enabling a more precise estimation of the inflation–expenditure relationship (Gujarati &amp; Porter, 2009).</w:t>
      </w:r>
    </w:p>
    <w:p w14:paraId="3571C494">
      <w:pPr>
        <w:numPr>
          <w:ilvl w:val="0"/>
          <w:numId w:val="1"/>
        </w:numPr>
        <w:spacing w:line="360" w:lineRule="auto"/>
        <w:jc w:val="both"/>
        <w:rPr>
          <w:rFonts w:ascii="Times New Roman" w:hAnsi="Times New Roman" w:cs="Times New Roman"/>
        </w:rPr>
      </w:pPr>
      <w:r>
        <w:rPr>
          <w:rFonts w:ascii="Times New Roman" w:hAnsi="Times New Roman" w:cs="Times New Roman"/>
        </w:rPr>
        <w:t>To test and validate econometric assumptions, including stationarity (ADF test), multicollinearity (VIF), autocorrelation (Durbin–Watson test), and residual normality (Jarque–Bera test), following the diagnostic recommendations of Stock and Watson (2015).</w:t>
      </w:r>
    </w:p>
    <w:p w14:paraId="02F0BED7">
      <w:pPr>
        <w:numPr>
          <w:ilvl w:val="0"/>
          <w:numId w:val="1"/>
        </w:numPr>
        <w:spacing w:line="360" w:lineRule="auto"/>
        <w:jc w:val="both"/>
        <w:rPr>
          <w:rFonts w:ascii="Times New Roman" w:hAnsi="Times New Roman" w:cs="Times New Roman"/>
        </w:rPr>
      </w:pPr>
      <w:r>
        <w:rPr>
          <w:rFonts w:ascii="Times New Roman" w:hAnsi="Times New Roman" w:cs="Times New Roman"/>
        </w:rPr>
        <w:t>To develop a forecasting model capable of projecting grocery spending under alternative inflation scenarios, building on contemporary time series forecasting methods (Batchelor &amp; Dua, 1998).</w:t>
      </w:r>
    </w:p>
    <w:p w14:paraId="048080F4">
      <w:pPr>
        <w:spacing w:line="360" w:lineRule="auto"/>
        <w:jc w:val="both"/>
        <w:rPr>
          <w:rFonts w:ascii="Times New Roman" w:hAnsi="Times New Roman" w:cs="Times New Roman"/>
        </w:rPr>
      </w:pPr>
      <w:r>
        <w:rPr>
          <w:rFonts w:ascii="Times New Roman" w:hAnsi="Times New Roman" w:cs="Times New Roman"/>
        </w:rPr>
        <w:t>Together, these objectives ensure a rigorous empirical examination of the relationship between inflation and grocery expenditure.</w:t>
      </w:r>
    </w:p>
    <w:p w14:paraId="2350339D">
      <w:pPr>
        <w:pStyle w:val="3"/>
      </w:pPr>
      <w:r>
        <w:t xml:space="preserve"> </w:t>
      </w:r>
      <w:bookmarkStart w:id="3" w:name="_Toc218351966"/>
      <w:r>
        <w:t>1.3 Research Hypotheses</w:t>
      </w:r>
      <w:bookmarkEnd w:id="3"/>
      <w:r>
        <w:t xml:space="preserve"> </w:t>
      </w:r>
    </w:p>
    <w:p w14:paraId="313A399F">
      <w:pPr>
        <w:spacing w:line="360" w:lineRule="auto"/>
        <w:jc w:val="both"/>
        <w:rPr>
          <w:rFonts w:ascii="Times New Roman" w:hAnsi="Times New Roman" w:cs="Times New Roman"/>
        </w:rPr>
      </w:pPr>
      <w:r>
        <w:rPr>
          <w:rFonts w:ascii="Times New Roman" w:hAnsi="Times New Roman" w:cs="Times New Roman"/>
        </w:rPr>
        <w:t>H1: Inflation (CPI) has a statistically significant effect on grocery spending in the UK (2000–2023).</w:t>
      </w:r>
    </w:p>
    <w:p w14:paraId="5B86E6E6">
      <w:pPr>
        <w:spacing w:line="360" w:lineRule="auto"/>
        <w:jc w:val="both"/>
        <w:rPr>
          <w:rFonts w:ascii="Times New Roman" w:hAnsi="Times New Roman" w:cs="Times New Roman"/>
        </w:rPr>
      </w:pPr>
      <w:r>
        <w:rPr>
          <w:rFonts w:ascii="Times New Roman" w:hAnsi="Times New Roman" w:cs="Times New Roman"/>
        </w:rPr>
        <w:t>This hypothesis reflects the expectation that inflation has a meaningful influence on household spending behaviour.</w:t>
      </w:r>
    </w:p>
    <w:p w14:paraId="6BD30796">
      <w:pPr>
        <w:spacing w:line="360" w:lineRule="auto"/>
        <w:jc w:val="both"/>
        <w:rPr>
          <w:rFonts w:ascii="Times New Roman" w:hAnsi="Times New Roman" w:cs="Times New Roman"/>
        </w:rPr>
      </w:pPr>
      <w:r>
        <w:rPr>
          <w:rFonts w:ascii="Times New Roman" w:hAnsi="Times New Roman" w:cs="Times New Roman"/>
        </w:rPr>
        <w:t>H2: Higher inflation levels are associated with increases in nominal grocery spending due to rising prices.</w:t>
      </w:r>
    </w:p>
    <w:p w14:paraId="152187BC">
      <w:pPr>
        <w:spacing w:line="360" w:lineRule="auto"/>
        <w:jc w:val="both"/>
        <w:rPr>
          <w:rFonts w:ascii="Times New Roman" w:hAnsi="Times New Roman" w:cs="Times New Roman"/>
        </w:rPr>
      </w:pPr>
      <w:r>
        <w:rPr>
          <w:rFonts w:ascii="Times New Roman" w:hAnsi="Times New Roman" w:cs="Times New Roman"/>
        </w:rPr>
        <w:t>H3: After controlling for disposable income and unemployment, inflation remains a significant predictor of grocery expenditure.</w:t>
      </w:r>
    </w:p>
    <w:p w14:paraId="63099726">
      <w:pPr>
        <w:spacing w:line="360" w:lineRule="auto"/>
        <w:jc w:val="both"/>
        <w:rPr>
          <w:rFonts w:ascii="Times New Roman" w:hAnsi="Times New Roman" w:cs="Times New Roman"/>
        </w:rPr>
      </w:pPr>
      <w:r>
        <w:rPr>
          <w:rFonts w:ascii="Times New Roman" w:hAnsi="Times New Roman" w:cs="Times New Roman"/>
        </w:rPr>
        <w:t>H4: Forecasting models incorporating inflation outperform models that exclude inflation in predicting grocery spending.</w:t>
      </w:r>
    </w:p>
    <w:p w14:paraId="547F36E0">
      <w:pPr>
        <w:spacing w:line="360" w:lineRule="auto"/>
        <w:rPr>
          <w:rFonts w:ascii="Times New Roman" w:hAnsi="Times New Roman" w:cs="Times New Roman"/>
          <w:b/>
          <w:bCs/>
        </w:rPr>
      </w:pPr>
      <w:r>
        <w:rPr>
          <w:rFonts w:ascii="Times New Roman" w:hAnsi="Times New Roman" w:cs="Times New Roman"/>
          <w:b/>
          <w:bCs/>
        </w:rPr>
        <w:t>1.4 Problem Statement</w:t>
      </w:r>
    </w:p>
    <w:p w14:paraId="792F669C">
      <w:pPr>
        <w:spacing w:line="360" w:lineRule="auto"/>
        <w:jc w:val="both"/>
        <w:rPr>
          <w:rFonts w:ascii="Times New Roman" w:hAnsi="Times New Roman" w:cs="Times New Roman"/>
        </w:rPr>
      </w:pPr>
      <w:r>
        <w:rPr>
          <w:rFonts w:ascii="Times New Roman" w:hAnsi="Times New Roman" w:cs="Times New Roman"/>
        </w:rPr>
        <w:t>Constant inflation shocks the household budgets especially in things like food which are regarded to be a basic expenditure. Since food is a needs good, the households do not easily decrease the consumption in proportion to the price increase. Rather, they can change their purchasing behavior, buying less expensive options, consuming less of unnecessary foodstuff, or they could change the amount of purchases (Buss &amp; Wallner, 2022). Despite such behavioural reactions being generally recognised, little has been done so far to explain the sheer size and dynamics of the linkages between inflation and grocery expenditure in the context of the UK academic literature.</w:t>
      </w:r>
    </w:p>
    <w:p w14:paraId="0C97BF5C">
      <w:pPr>
        <w:spacing w:line="360" w:lineRule="auto"/>
        <w:jc w:val="both"/>
        <w:rPr>
          <w:rFonts w:ascii="Times New Roman" w:hAnsi="Times New Roman" w:cs="Times New Roman"/>
        </w:rPr>
      </w:pPr>
      <w:r>
        <w:rPr>
          <w:rFonts w:ascii="Times New Roman" w:hAnsi="Times New Roman" w:cs="Times New Roman"/>
        </w:rPr>
        <w:t>The majority of the current literature choose short time periods (e.g. after crisis periods) or households spending habits in general and not grocery spending in particular (Carruth, 2003). Moreover, not many of them use combined multi-source data over a period of above 20 years and even fewer of them include important macroeconomic controls, like disposable income and unemployment. The existence of this gap complicates the understanding of how inflation has affected major spending patterns by policymakers, retailers, and researchers why this has been the case over the years. An effective econometric analysis of the situation between 2000 and 2023 is thus required to assess the adjustment of the UK households on their spending on grocery in relation to the inflationary pressures.</w:t>
      </w:r>
    </w:p>
    <w:p w14:paraId="11F9AE1D">
      <w:pPr>
        <w:pStyle w:val="2"/>
      </w:pPr>
      <w:bookmarkStart w:id="4" w:name="_Toc218351967"/>
      <w:r>
        <w:t>2. Literature Review</w:t>
      </w:r>
      <w:bookmarkEnd w:id="4"/>
    </w:p>
    <w:p w14:paraId="5E92CE17">
      <w:pPr>
        <w:pStyle w:val="3"/>
      </w:pPr>
      <w:bookmarkStart w:id="5" w:name="_Toc218351968"/>
      <w:r>
        <w:t>2.1 Overview of UK Inflation Trends</w:t>
      </w:r>
      <w:bookmarkEnd w:id="5"/>
    </w:p>
    <w:p w14:paraId="1DF488D0">
      <w:pPr>
        <w:spacing w:line="360" w:lineRule="auto"/>
        <w:jc w:val="both"/>
        <w:rPr>
          <w:rFonts w:ascii="Times New Roman" w:hAnsi="Times New Roman" w:cs="Times New Roman"/>
        </w:rPr>
      </w:pPr>
      <w:r>
        <w:rPr>
          <w:rFonts w:ascii="Times New Roman" w:hAnsi="Times New Roman" w:cs="Times New Roman"/>
        </w:rPr>
        <w:t>The inflation rate in United Kingdom has been characterised by a gross fluctuation over the last 20 years that is influenced by both the home economic factors and the global shocks. In the early years of the 21st century, inflation was fairly stable, which was enabled by a stable monetary policy and average economic growth (Davies, 2021). Nonetheless, the 2008 Global Financial Crisis caused a major change in the trends of inflation as commodity prices have risen up, and the depreciation of the currency exerted an upward pressure on the cost of imports. The period was characterized by a rise in the prices of household commodities such as food, and companies transferred higher costs of production to consumers (Office for National Statistics, 2023).</w:t>
      </w:r>
    </w:p>
    <w:p w14:paraId="6202B46A">
      <w:pPr>
        <w:spacing w:line="360" w:lineRule="auto"/>
        <w:jc w:val="both"/>
        <w:rPr>
          <w:rFonts w:ascii="Times New Roman" w:hAnsi="Times New Roman" w:cs="Times New Roman"/>
        </w:rPr>
      </w:pPr>
      <w:r>
        <w:rPr>
          <w:rFonts w:ascii="Times New Roman" w:hAnsi="Times New Roman" w:cs="Times New Roman"/>
        </w:rPr>
        <w:t>The other structural change occurred after the 2016 Brexit referendum. The drop in the value of the pound increased the prices of imported products, such as most foodstuffs, and led to temporary increases in the inflation rate. Although inflation has been stabilized in the late 2010s, with the beginning of the COVID-19 pandemic and the ensuing economic upset, the surge of inflation was even more dramatic. The bottlenecks in supply chains, the increased costs of transportations, inflation of the energy prices, and the shortage of materials in the whole world led to the fact that inflation was the highest in the last 40 years (ONS, 2023). The food prices were also disproportionately impacted by these pressures potentially increasing household vulnerability and driving public alarm at the increasing cost of living (Onita, 2023). The aggregate impact of these structural modifications explains the necessity of effective, prolonged analysis of the impact of inflation on household expenditure, in specific areas especially the essential ones e.g. groceries.</w:t>
      </w:r>
    </w:p>
    <w:p w14:paraId="1E57D79C">
      <w:pPr>
        <w:pStyle w:val="3"/>
      </w:pPr>
      <w:bookmarkStart w:id="6" w:name="_Toc218351969"/>
      <w:r>
        <w:t>2.2 Theoretical Framework</w:t>
      </w:r>
      <w:bookmarkEnd w:id="6"/>
    </w:p>
    <w:p w14:paraId="5D960E46">
      <w:pPr>
        <w:spacing w:line="360" w:lineRule="auto"/>
        <w:jc w:val="both"/>
        <w:rPr>
          <w:rFonts w:ascii="Times New Roman" w:hAnsi="Times New Roman" w:cs="Times New Roman"/>
        </w:rPr>
      </w:pPr>
      <w:r>
        <w:rPr>
          <w:rFonts w:ascii="Times New Roman" w:hAnsi="Times New Roman" w:cs="Times New Roman"/>
        </w:rPr>
        <w:t>A number of theoretical schools facilitate the analysis of the effect of inflation on grocery expenditure patterns. The Theory of Time Allocation of Becker (1965) gives a starting point, implying that households consider both time and monetary resources in activities of consumption in a manner that maximizes utility. During the period of inflation, households can change their spending and shopping behaviour e.g. buy more price comparisons or buy branded goods instead of cheaper alternatives as a way of making the limited budgets work.</w:t>
      </w:r>
    </w:p>
    <w:p w14:paraId="7F72A0AC">
      <w:pPr>
        <w:spacing w:line="360" w:lineRule="auto"/>
        <w:jc w:val="both"/>
        <w:rPr>
          <w:rFonts w:ascii="Times New Roman" w:hAnsi="Times New Roman" w:cs="Times New Roman"/>
        </w:rPr>
      </w:pPr>
      <w:r>
        <w:rPr>
          <w:rFonts w:ascii="Times New Roman" w:hAnsi="Times New Roman" w:cs="Times New Roman"/>
          <w:lang w:val="en-US"/>
        </w:rPr>
        <w:drawing>
          <wp:anchor distT="0" distB="0" distL="114300" distR="114300" simplePos="0" relativeHeight="251659264" behindDoc="0" locked="0" layoutInCell="1" allowOverlap="1">
            <wp:simplePos x="0" y="0"/>
            <wp:positionH relativeFrom="margin">
              <wp:posOffset>1457960</wp:posOffset>
            </wp:positionH>
            <wp:positionV relativeFrom="margin">
              <wp:posOffset>6029960</wp:posOffset>
            </wp:positionV>
            <wp:extent cx="2383790" cy="2383790"/>
            <wp:effectExtent l="0" t="0" r="381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383790" cy="2383790"/>
                    </a:xfrm>
                    <a:prstGeom prst="rect">
                      <a:avLst/>
                    </a:prstGeom>
                    <a:noFill/>
                    <a:ln>
                      <a:noFill/>
                    </a:ln>
                  </pic:spPr>
                </pic:pic>
              </a:graphicData>
            </a:graphic>
          </wp:anchor>
        </w:drawing>
      </w:r>
    </w:p>
    <w:p w14:paraId="7B42F1D3">
      <w:pPr>
        <w:spacing w:line="360" w:lineRule="auto"/>
        <w:jc w:val="both"/>
        <w:rPr>
          <w:rFonts w:ascii="Times New Roman" w:hAnsi="Times New Roman" w:cs="Times New Roman"/>
        </w:rPr>
      </w:pPr>
    </w:p>
    <w:p w14:paraId="5F431BCB">
      <w:pPr>
        <w:spacing w:line="360" w:lineRule="auto"/>
        <w:jc w:val="both"/>
        <w:rPr>
          <w:rFonts w:ascii="Times New Roman" w:hAnsi="Times New Roman" w:cs="Times New Roman"/>
        </w:rPr>
      </w:pPr>
    </w:p>
    <w:p w14:paraId="4914323A">
      <w:pPr>
        <w:spacing w:line="360" w:lineRule="auto"/>
        <w:jc w:val="both"/>
        <w:rPr>
          <w:rFonts w:ascii="Times New Roman" w:hAnsi="Times New Roman" w:cs="Times New Roman"/>
        </w:rPr>
      </w:pPr>
    </w:p>
    <w:p w14:paraId="4460F283">
      <w:pPr>
        <w:spacing w:line="360" w:lineRule="auto"/>
        <w:jc w:val="both"/>
        <w:rPr>
          <w:rFonts w:ascii="Times New Roman" w:hAnsi="Times New Roman" w:cs="Times New Roman"/>
        </w:rPr>
      </w:pPr>
    </w:p>
    <w:p w14:paraId="41F471E4">
      <w:pPr>
        <w:spacing w:line="360" w:lineRule="auto"/>
        <w:jc w:val="both"/>
        <w:rPr>
          <w:rFonts w:ascii="Times New Roman" w:hAnsi="Times New Roman" w:cs="Times New Roman"/>
        </w:rPr>
      </w:pPr>
    </w:p>
    <w:p w14:paraId="58668745">
      <w:pPr>
        <w:spacing w:line="360" w:lineRule="auto"/>
        <w:jc w:val="both"/>
        <w:rPr>
          <w:rFonts w:ascii="Times New Roman" w:hAnsi="Times New Roman" w:cs="Times New Roman"/>
        </w:rPr>
      </w:pPr>
    </w:p>
    <w:p w14:paraId="2B710428">
      <w:pPr>
        <w:spacing w:line="360" w:lineRule="auto"/>
        <w:jc w:val="center"/>
        <w:rPr>
          <w:rFonts w:ascii="Times New Roman" w:hAnsi="Times New Roman" w:cs="Times New Roman"/>
          <w:b/>
          <w:bCs/>
          <w:i/>
          <w:iCs/>
          <w:sz w:val="20"/>
          <w:szCs w:val="20"/>
        </w:rPr>
      </w:pPr>
      <w:r>
        <w:rPr>
          <w:rFonts w:ascii="Times New Roman" w:hAnsi="Times New Roman" w:cs="Times New Roman"/>
          <w:b/>
          <w:bCs/>
          <w:i/>
          <w:iCs/>
          <w:sz w:val="20"/>
          <w:szCs w:val="20"/>
        </w:rPr>
        <w:t>Figure 1: Conceptual Model Illustrating Household Behavioural Responses to Inflation</w:t>
      </w:r>
    </w:p>
    <w:p w14:paraId="43CE3D0B">
      <w:pPr>
        <w:spacing w:line="360" w:lineRule="auto"/>
        <w:jc w:val="both"/>
        <w:rPr>
          <w:rFonts w:ascii="Times New Roman" w:hAnsi="Times New Roman" w:cs="Times New Roman"/>
        </w:rPr>
      </w:pPr>
      <w:r>
        <w:rPr>
          <w:rFonts w:ascii="Times New Roman" w:hAnsi="Times New Roman" w:cs="Times New Roman"/>
        </w:rPr>
        <w:t>The consumption inequality literature also provides further information as to the impact of inflation to various socioeconomic groups. The authors state that increasing income inequality may intensify the disparity in consumption decisions among households (Krueger and Perri, 2006). Inflation also puts more pressure on the low income earners; hence making their adaptation in basic spending categories, like groceries, to be more pronounced. This model highlights the significance of the control variables that relate to income when modeling the spending of grocery.</w:t>
      </w:r>
    </w:p>
    <w:p w14:paraId="57DA59C6">
      <w:pPr>
        <w:spacing w:line="360" w:lineRule="auto"/>
        <w:jc w:val="both"/>
        <w:rPr>
          <w:rFonts w:ascii="Times New Roman" w:hAnsi="Times New Roman" w:cs="Times New Roman"/>
        </w:rPr>
      </w:pPr>
      <w:r>
        <w:rPr>
          <w:rFonts w:ascii="Times New Roman" w:hAnsi="Times New Roman" w:cs="Times New Roman"/>
        </w:rPr>
        <w:t>Household optimisation models also form an explanation of how people respond to inflation. According to these models, households aim to adopt consistent consumption patterns but can be forced to change when the rates of the rise in prices exceed the growth in income (Stock and Watson, 2015). These adoptions frequently take the form of decreased consumption of non-necessity goods, substitutes of a lower cost, or alternations in the frequency of purchase.</w:t>
      </w:r>
    </w:p>
    <w:p w14:paraId="42BB00B4">
      <w:pPr>
        <w:spacing w:line="360" w:lineRule="auto"/>
        <w:jc w:val="both"/>
        <w:rPr>
          <w:rFonts w:ascii="Times New Roman" w:hAnsi="Times New Roman" w:cs="Times New Roman"/>
        </w:rPr>
      </w:pPr>
      <w:r>
        <w:rPr>
          <w:rFonts w:ascii="Times New Roman" w:hAnsi="Times New Roman" w:cs="Times New Roman"/>
        </w:rPr>
        <w:t>The other theoretical approach that is applicable is the price elasticity of demand of food consumption. Goods, more so food stuffs are relatively price inelastic, i.e. quantity demanded does not reduce in line with an increase in prices (Gujarati and Porter, 2009). But there are differences in the elasticities in the wider food group. Consumers can still buy their essentials like bread or milk and lower the amount of money they spend on their more discretionary purchases of groceries. Collectively, the two theoretical models demonstrate the complicated nature of household responses to inflation, explaining why the empirical analysis should be carried out in more diverse detail.</w:t>
      </w:r>
    </w:p>
    <w:p w14:paraId="22878793">
      <w:pPr>
        <w:pStyle w:val="3"/>
      </w:pPr>
      <w:bookmarkStart w:id="7" w:name="_Toc218351970"/>
      <w:r>
        <w:t>2.3 Empirical Studies on Spending Behaviour</w:t>
      </w:r>
      <w:bookmarkEnd w:id="7"/>
    </w:p>
    <w:p w14:paraId="4E8D4923">
      <w:pPr>
        <w:spacing w:line="360" w:lineRule="auto"/>
        <w:jc w:val="both"/>
        <w:rPr>
          <w:rFonts w:ascii="Times New Roman" w:hAnsi="Times New Roman" w:cs="Times New Roman"/>
        </w:rPr>
      </w:pPr>
      <w:r>
        <w:rPr>
          <w:rFonts w:ascii="Times New Roman" w:hAnsi="Times New Roman" w:cs="Times New Roman"/>
        </w:rPr>
        <w:t>There is a sizeable volume of empirical literature on the impact of inflation on consumer expenditure, though a significant part looks at aggregate as opposed to grocery-based consumer spending. An example is Carruth and Dickerson (2003) who use asymmetric error correction models to analyse consumer spending in the UK and conclude that the effect of inflation on consumption patterns is strong especially when inflation continues. Their contribution emphasizes the significance of both the long-term and short-term behavioural adjustments.</w:t>
      </w:r>
    </w:p>
    <w:p w14:paraId="065400B0">
      <w:pPr>
        <w:spacing w:line="360" w:lineRule="auto"/>
        <w:jc w:val="both"/>
        <w:rPr>
          <w:rFonts w:ascii="Times New Roman" w:hAnsi="Times New Roman" w:cs="Times New Roman"/>
        </w:rPr>
      </w:pPr>
      <w:r>
        <w:rPr>
          <w:rFonts w:ascii="Times New Roman" w:hAnsi="Times New Roman" w:cs="Times New Roman"/>
        </w:rPr>
        <w:t>These findings are also supported by international studies. Studies conducted in the European and North American markets indicate that inflation lowers the real purchasing power and causes a household spending switch to cheaper products (Buss and Wallner, 2022). The research based on household survey data highlights the different reaction of the diverse groups of households, where low-income households are more responsive to price variations (Muellbauer, 2016). These studies point out the need of using control variables like disposable income and unemployment when formulating responses to spending.</w:t>
      </w:r>
    </w:p>
    <w:p w14:paraId="34C01E17">
      <w:pPr>
        <w:spacing w:line="360" w:lineRule="auto"/>
        <w:jc w:val="both"/>
        <w:rPr>
          <w:rFonts w:ascii="Times New Roman" w:hAnsi="Times New Roman" w:cs="Times New Roman"/>
        </w:rPr>
      </w:pPr>
      <w:r>
        <w:rPr>
          <w:rFonts w:ascii="Times New Roman" w:hAnsi="Times New Roman" w:cs="Times New Roman"/>
        </w:rPr>
        <w:t>Other empirical studies employ the use of CPI, retail sales and national accounts data in exploring the relationship between inflation and expenditure. Davies (2021) gives a historical explanation of the UK prices, demonstrating the impact of inflation on consumer trends in various sectors, including food. A variety of time series econometric methods are very common in this field, among which are regression models, error correction models, and forecasting methods (Stock and Watson, 2015). Nevertheless, even though there is access to more specific data on inflation and even retail data, there is still a relative lack of research on grocery spending in long-term contexts.</w:t>
      </w:r>
    </w:p>
    <w:p w14:paraId="6FBD2B98">
      <w:pPr>
        <w:pStyle w:val="3"/>
      </w:pPr>
      <w:bookmarkStart w:id="8" w:name="_Toc218351971"/>
      <w:r>
        <w:t>2.4 Research Gap</w:t>
      </w:r>
      <w:bookmarkEnd w:id="8"/>
    </w:p>
    <w:p w14:paraId="54101166">
      <w:pPr>
        <w:spacing w:line="360" w:lineRule="auto"/>
        <w:jc w:val="both"/>
        <w:rPr>
          <w:rFonts w:ascii="Times New Roman" w:hAnsi="Times New Roman" w:cs="Times New Roman"/>
        </w:rPr>
      </w:pPr>
      <w:r>
        <w:rPr>
          <w:rFonts w:ascii="Times New Roman" w:hAnsi="Times New Roman" w:cs="Times New Roman"/>
        </w:rPr>
        <w:t>In spite of the fact that there is still valid information in the literature that provides knowledge on inflation and consumer expenditure, there are still gaps that need to be filled. First, there is no long-term and multi-source merged time series analysis that combines CPI, retail sales, consumer expenditure, income, and labour market variables into one database over a span of more than 20 years. A lot of research applies small scopes of data or time frames and hence cannot reflect the structural adjustments over time, e.g. the 2008 crisis, Brexit or the COVID-19 surge of inflation.</w:t>
      </w:r>
    </w:p>
    <w:p w14:paraId="0BFD2517">
      <w:pPr>
        <w:spacing w:line="360" w:lineRule="auto"/>
        <w:jc w:val="both"/>
        <w:rPr>
          <w:rFonts w:ascii="Times New Roman" w:hAnsi="Times New Roman" w:cs="Times New Roman"/>
        </w:rPr>
      </w:pPr>
      <w:r>
        <w:rPr>
          <w:rFonts w:ascii="Times New Roman" w:hAnsi="Times New Roman" w:cs="Times New Roman"/>
        </w:rPr>
        <w:t>Second, there is a narrow academic interest on grocery spending, even though it is a vital and inflation-sensitive expenditure area. The vast majority of the UK studies examine wider aspects of household expenditure, which conceals the behavioural dynamics that revolve around the consumption of food.</w:t>
      </w:r>
    </w:p>
    <w:p w14:paraId="5BEBACF4">
      <w:pPr>
        <w:spacing w:line="360" w:lineRule="auto"/>
        <w:jc w:val="both"/>
        <w:rPr>
          <w:rFonts w:ascii="Times New Roman" w:hAnsi="Times New Roman" w:cs="Times New Roman"/>
        </w:rPr>
      </w:pPr>
      <w:r>
        <w:rPr>
          <w:rFonts w:ascii="Times New Roman" w:hAnsi="Times New Roman" w:cs="Times New Roman"/>
        </w:rPr>
        <w:t>Third, the literature is not usually detailed and modelled with control variables of interest which include disposable income and unemployment which have a strong impact on the purchasing power (Gujarati and Porter, 2009).</w:t>
      </w:r>
    </w:p>
    <w:p w14:paraId="29CEDAE5">
      <w:pPr>
        <w:spacing w:line="360" w:lineRule="auto"/>
        <w:jc w:val="both"/>
        <w:rPr>
          <w:rFonts w:ascii="Times New Roman" w:hAnsi="Times New Roman" w:cs="Times New Roman"/>
        </w:rPr>
      </w:pPr>
      <w:r>
        <w:rPr>
          <w:rFonts w:ascii="Times New Roman" w:hAnsi="Times New Roman" w:cs="Times New Roman"/>
        </w:rPr>
        <w:t>Lastly, not many researches use modern prediction techniques or perform an extensive level of econometric diagnostics like ADF test, VIF test, or Durbin-Watson test to prove the strength of their models.</w:t>
      </w:r>
    </w:p>
    <w:p w14:paraId="78D43C18">
      <w:pPr>
        <w:spacing w:line="360" w:lineRule="auto"/>
        <w:jc w:val="both"/>
        <w:rPr>
          <w:rFonts w:ascii="Times New Roman" w:hAnsi="Times New Roman" w:cs="Times New Roman"/>
        </w:rPr>
      </w:pPr>
      <w:r>
        <w:rPr>
          <w:rFonts w:ascii="Times New Roman" w:hAnsi="Times New Roman" w:cs="Times New Roman"/>
        </w:rPr>
        <w:t>These limitations explain why the current research is necessary and will serve as a contribution towards a combined, empirically sound investigation of the effect of inflation on grocery expenditure in the UK between the years 2000 and 2023.</w:t>
      </w:r>
    </w:p>
    <w:p w14:paraId="237A34E3">
      <w:pPr>
        <w:pStyle w:val="2"/>
      </w:pPr>
      <w:bookmarkStart w:id="9" w:name="_Toc218351972"/>
      <w:r>
        <w:t>3. Data and Sources</w:t>
      </w:r>
      <w:bookmarkEnd w:id="9"/>
    </w:p>
    <w:p w14:paraId="4DDC8BF1">
      <w:pPr>
        <w:pStyle w:val="3"/>
      </w:pPr>
      <w:bookmarkStart w:id="10" w:name="_Toc218351973"/>
      <w:r>
        <w:t>3.1 Description of Datasets</w:t>
      </w:r>
      <w:bookmarkEnd w:id="10"/>
    </w:p>
    <w:p w14:paraId="40F8115E">
      <w:pPr>
        <w:spacing w:line="360" w:lineRule="auto"/>
        <w:jc w:val="both"/>
        <w:rPr>
          <w:rFonts w:ascii="Times New Roman" w:hAnsi="Times New Roman" w:cs="Times New Roman"/>
        </w:rPr>
      </w:pPr>
      <w:r>
        <w:rPr>
          <w:rFonts w:ascii="Times New Roman" w:hAnsi="Times New Roman" w:cs="Times New Roman"/>
        </w:rPr>
        <w:t>This research is built on some of the credible secondary data sources to come up with one coherent data which tests the correlation between inflation and grocery expenditure in United Kingdom between the years 2000 and 2023. The Office for National Statistics (ONS) is the main source of data because it offers a more detailed time series data regarding household spending and other important indicators of the economy. From the ONS, the study uses:</w:t>
      </w:r>
    </w:p>
    <w:p w14:paraId="6FFB8B08">
      <w:pPr>
        <w:numPr>
          <w:ilvl w:val="0"/>
          <w:numId w:val="2"/>
        </w:numPr>
        <w:spacing w:line="360" w:lineRule="auto"/>
        <w:jc w:val="both"/>
        <w:rPr>
          <w:rFonts w:ascii="Times New Roman" w:hAnsi="Times New Roman" w:cs="Times New Roman"/>
        </w:rPr>
      </w:pPr>
      <w:r>
        <w:rPr>
          <w:rFonts w:ascii="Times New Roman" w:hAnsi="Times New Roman" w:cs="Times New Roman"/>
        </w:rPr>
        <w:t>Household spending on Food and Non-Alcoholic Beverages, representing the primary measure of grocery expenditure.</w:t>
      </w:r>
    </w:p>
    <w:p w14:paraId="4B871A17">
      <w:pPr>
        <w:numPr>
          <w:ilvl w:val="0"/>
          <w:numId w:val="2"/>
        </w:numPr>
        <w:spacing w:line="360" w:lineRule="auto"/>
        <w:jc w:val="both"/>
        <w:rPr>
          <w:rFonts w:ascii="Times New Roman" w:hAnsi="Times New Roman" w:cs="Times New Roman"/>
        </w:rPr>
      </w:pPr>
      <w:r>
        <w:rPr>
          <w:rFonts w:ascii="Times New Roman" w:hAnsi="Times New Roman" w:cs="Times New Roman"/>
        </w:rPr>
        <w:t>Real Household Disposable Income per Head, which reflects households’ ability to spend after adjusting for inflation and taxes.</w:t>
      </w:r>
    </w:p>
    <w:p w14:paraId="2A3160D9">
      <w:pPr>
        <w:numPr>
          <w:ilvl w:val="0"/>
          <w:numId w:val="2"/>
        </w:numPr>
        <w:spacing w:line="360" w:lineRule="auto"/>
        <w:jc w:val="both"/>
        <w:rPr>
          <w:rFonts w:ascii="Times New Roman" w:hAnsi="Times New Roman" w:cs="Times New Roman"/>
        </w:rPr>
      </w:pPr>
      <w:r>
        <w:rPr>
          <w:rFonts w:ascii="Times New Roman" w:hAnsi="Times New Roman" w:cs="Times New Roman"/>
        </w:rPr>
        <w:t>Gross Disposable Household Income and Total Household Expenditure, used to construct control variables and ensure consistency when modelling purchasing power and consumption behaviour.</w:t>
      </w:r>
    </w:p>
    <w:p w14:paraId="1C42A5C1">
      <w:pPr>
        <w:spacing w:line="360" w:lineRule="auto"/>
        <w:jc w:val="both"/>
        <w:rPr>
          <w:rFonts w:ascii="Times New Roman" w:hAnsi="Times New Roman" w:cs="Times New Roman"/>
        </w:rPr>
      </w:pPr>
      <w:r>
        <w:rPr>
          <w:rFonts w:ascii="Times New Roman" w:hAnsi="Times New Roman" w:cs="Times New Roman"/>
        </w:rPr>
        <w:t>Such datasets have been known to be highly reliable, national in their representativeness and since they are time-neutral, they are ideal in longitudinal econometric analysis. Besides the datasets in ONS, the study uses the Federal Reserve Economic Data (FRED) system data. The FRED database gives a pool of economic indicators of various international bodies such as the United Nations (UN). In this study, one of the FRED variables that are important is the Consumer Price Index (CPI) of the United Kingdom. CPI is the main index of inflation which is published quarterly and monthly. The FRED CPI series offers a constant international comparable measure of inflation that is appropriate to analyse long-term price movements.</w:t>
      </w:r>
    </w:p>
    <w:p w14:paraId="59AEBFF0">
      <w:pPr>
        <w:spacing w:line="360" w:lineRule="auto"/>
        <w:jc w:val="both"/>
        <w:rPr>
          <w:rFonts w:ascii="Times New Roman" w:hAnsi="Times New Roman" w:cs="Times New Roman"/>
        </w:rPr>
      </w:pPr>
      <w:r>
        <w:rPr>
          <w:rFonts w:ascii="Times New Roman" w:hAnsi="Times New Roman" w:cs="Times New Roman"/>
        </w:rPr>
        <w:t>A combination of these sources will allow making a solid, multi-variable data set, which will encompass spending, inflation, income, and labour market conditions. All these datasets can give the required depth and breadth of the ultimate analysis of the effect of inflation on grocery spending.</w:t>
      </w:r>
    </w:p>
    <w:p w14:paraId="0207577D">
      <w:pPr>
        <w:pStyle w:val="3"/>
      </w:pPr>
      <w:bookmarkStart w:id="11" w:name="_Toc218351974"/>
      <w:r>
        <w:t>3.2 Variable Definitions</w:t>
      </w:r>
      <w:bookmarkEnd w:id="11"/>
    </w:p>
    <w:p w14:paraId="63A7C376">
      <w:pPr>
        <w:spacing w:line="360" w:lineRule="auto"/>
        <w:rPr>
          <w:rFonts w:ascii="Times New Roman" w:hAnsi="Times New Roman" w:cs="Times New Roman"/>
        </w:rPr>
      </w:pPr>
      <w:r>
        <w:rPr>
          <w:rFonts w:ascii="Times New Roman" w:hAnsi="Times New Roman" w:cs="Times New Roman"/>
        </w:rPr>
        <w:t>To model the relationship between inflation and grocery spending, the study includes the following variables:</w:t>
      </w:r>
    </w:p>
    <w:p w14:paraId="26C920A4">
      <w:pPr>
        <w:spacing w:line="360" w:lineRule="auto"/>
        <w:rPr>
          <w:rFonts w:ascii="Times New Roman" w:hAnsi="Times New Roman" w:cs="Times New Roman"/>
          <w:b/>
          <w:bCs/>
        </w:rPr>
      </w:pPr>
      <w:r>
        <w:rPr>
          <w:rFonts w:ascii="Times New Roman" w:hAnsi="Times New Roman" w:cs="Times New Roman"/>
          <w:b/>
          <w:bCs/>
        </w:rPr>
        <w:t>Dependent Variable</w:t>
      </w:r>
    </w:p>
    <w:p w14:paraId="696808EE">
      <w:pPr>
        <w:numPr>
          <w:ilvl w:val="0"/>
          <w:numId w:val="3"/>
        </w:numPr>
        <w:spacing w:line="360" w:lineRule="auto"/>
        <w:rPr>
          <w:rFonts w:ascii="Times New Roman" w:hAnsi="Times New Roman" w:cs="Times New Roman"/>
        </w:rPr>
      </w:pPr>
      <w:r>
        <w:rPr>
          <w:rFonts w:ascii="Times New Roman" w:hAnsi="Times New Roman" w:cs="Times New Roman"/>
          <w:b/>
          <w:bCs/>
        </w:rPr>
        <w:t>Grocery/Food Expenditure</w:t>
      </w:r>
      <w:r>
        <w:rPr>
          <w:rFonts w:ascii="Times New Roman" w:hAnsi="Times New Roman" w:cs="Times New Roman"/>
        </w:rPr>
        <w:br w:type="textWrapping"/>
      </w:r>
      <w:r>
        <w:rPr>
          <w:rFonts w:ascii="Times New Roman" w:hAnsi="Times New Roman" w:cs="Times New Roman"/>
        </w:rPr>
        <w:t xml:space="preserve">Defined as household spending on food and non-alcoholic beverages. This variable captures the financial commitment households allocate to essential food consumption. It is sourced from ONS household expenditure statistics and reported in </w:t>
      </w:r>
      <w:r>
        <w:rPr>
          <w:rFonts w:ascii="Times New Roman" w:hAnsi="Times New Roman" w:cs="Times New Roman"/>
          <w:b/>
          <w:bCs/>
        </w:rPr>
        <w:t>£ millions per quarter</w:t>
      </w:r>
      <w:r>
        <w:rPr>
          <w:rFonts w:ascii="Times New Roman" w:hAnsi="Times New Roman" w:cs="Times New Roman"/>
        </w:rPr>
        <w:t>.</w:t>
      </w:r>
    </w:p>
    <w:p w14:paraId="09DFA04F">
      <w:pPr>
        <w:spacing w:line="360" w:lineRule="auto"/>
        <w:rPr>
          <w:rFonts w:ascii="Times New Roman" w:hAnsi="Times New Roman" w:cs="Times New Roman"/>
          <w:b/>
          <w:bCs/>
        </w:rPr>
      </w:pPr>
      <w:r>
        <w:rPr>
          <w:rFonts w:ascii="Times New Roman" w:hAnsi="Times New Roman" w:cs="Times New Roman"/>
          <w:b/>
          <w:bCs/>
        </w:rPr>
        <w:t>Independent Variable</w:t>
      </w:r>
    </w:p>
    <w:p w14:paraId="2DA13D7C">
      <w:pPr>
        <w:numPr>
          <w:ilvl w:val="0"/>
          <w:numId w:val="4"/>
        </w:numPr>
        <w:spacing w:line="360" w:lineRule="auto"/>
        <w:rPr>
          <w:rFonts w:ascii="Times New Roman" w:hAnsi="Times New Roman" w:cs="Times New Roman"/>
        </w:rPr>
      </w:pPr>
      <w:r>
        <w:rPr>
          <w:rFonts w:ascii="Times New Roman" w:hAnsi="Times New Roman" w:cs="Times New Roman"/>
          <w:b/>
          <w:bCs/>
        </w:rPr>
        <w:t>Consumer Price Index (CPI)</w:t>
      </w:r>
      <w:r>
        <w:rPr>
          <w:rFonts w:ascii="Times New Roman" w:hAnsi="Times New Roman" w:cs="Times New Roman"/>
        </w:rPr>
        <w:br w:type="textWrapping"/>
      </w:r>
      <w:r>
        <w:rPr>
          <w:rFonts w:ascii="Times New Roman" w:hAnsi="Times New Roman" w:cs="Times New Roman"/>
        </w:rPr>
        <w:t xml:space="preserve">CPI is the primary measure of the general price level and inflation in the UK. The CPI data from FRED (UN/UK data) tracks changes in consumer prices over time and is expressed as an </w:t>
      </w:r>
      <w:r>
        <w:rPr>
          <w:rFonts w:ascii="Times New Roman" w:hAnsi="Times New Roman" w:cs="Times New Roman"/>
          <w:b/>
          <w:bCs/>
        </w:rPr>
        <w:t>index (2015 = 100)</w:t>
      </w:r>
      <w:r>
        <w:rPr>
          <w:rFonts w:ascii="Times New Roman" w:hAnsi="Times New Roman" w:cs="Times New Roman"/>
        </w:rPr>
        <w:t>.</w:t>
      </w:r>
    </w:p>
    <w:p w14:paraId="410893C9">
      <w:pPr>
        <w:spacing w:line="360" w:lineRule="auto"/>
        <w:rPr>
          <w:rFonts w:ascii="Times New Roman" w:hAnsi="Times New Roman" w:cs="Times New Roman"/>
          <w:b/>
          <w:bCs/>
        </w:rPr>
      </w:pPr>
      <w:r>
        <w:rPr>
          <w:rFonts w:ascii="Times New Roman" w:hAnsi="Times New Roman" w:cs="Times New Roman"/>
          <w:b/>
          <w:bCs/>
        </w:rPr>
        <w:t>Control Variables</w:t>
      </w:r>
    </w:p>
    <w:p w14:paraId="2B6B6072">
      <w:pPr>
        <w:numPr>
          <w:ilvl w:val="0"/>
          <w:numId w:val="5"/>
        </w:numPr>
        <w:spacing w:line="360" w:lineRule="auto"/>
        <w:rPr>
          <w:rFonts w:ascii="Times New Roman" w:hAnsi="Times New Roman" w:cs="Times New Roman"/>
        </w:rPr>
      </w:pPr>
      <w:r>
        <w:rPr>
          <w:rFonts w:ascii="Times New Roman" w:hAnsi="Times New Roman" w:cs="Times New Roman"/>
          <w:b/>
          <w:bCs/>
        </w:rPr>
        <w:t>Household Disposable Income</w:t>
      </w:r>
      <w:r>
        <w:rPr>
          <w:rFonts w:ascii="Times New Roman" w:hAnsi="Times New Roman" w:cs="Times New Roman"/>
        </w:rPr>
        <w:br w:type="textWrapping"/>
      </w:r>
      <w:r>
        <w:rPr>
          <w:rFonts w:ascii="Times New Roman" w:hAnsi="Times New Roman" w:cs="Times New Roman"/>
        </w:rPr>
        <w:t xml:space="preserve">Real household disposable income per head, sourced from the ONS. This variable controls for income effects and is expressed in </w:t>
      </w:r>
      <w:r>
        <w:rPr>
          <w:rFonts w:ascii="Times New Roman" w:hAnsi="Times New Roman" w:cs="Times New Roman"/>
          <w:b/>
          <w:bCs/>
        </w:rPr>
        <w:t>£ per person</w:t>
      </w:r>
      <w:r>
        <w:rPr>
          <w:rFonts w:ascii="Times New Roman" w:hAnsi="Times New Roman" w:cs="Times New Roman"/>
        </w:rPr>
        <w:t>.</w:t>
      </w:r>
    </w:p>
    <w:p w14:paraId="5B856C8D">
      <w:pPr>
        <w:numPr>
          <w:ilvl w:val="0"/>
          <w:numId w:val="5"/>
        </w:numPr>
        <w:spacing w:line="360" w:lineRule="auto"/>
        <w:rPr>
          <w:rFonts w:ascii="Times New Roman" w:hAnsi="Times New Roman" w:cs="Times New Roman"/>
        </w:rPr>
      </w:pPr>
      <w:r>
        <w:rPr>
          <w:rFonts w:ascii="Times New Roman" w:hAnsi="Times New Roman" w:cs="Times New Roman"/>
          <w:b/>
          <w:bCs/>
        </w:rPr>
        <w:t>Unemployment Rate</w:t>
      </w:r>
      <w:r>
        <w:rPr>
          <w:rFonts w:ascii="Times New Roman" w:hAnsi="Times New Roman" w:cs="Times New Roman"/>
        </w:rPr>
        <w:br w:type="textWrapping"/>
      </w:r>
      <w:r>
        <w:rPr>
          <w:rFonts w:ascii="Times New Roman" w:hAnsi="Times New Roman" w:cs="Times New Roman"/>
        </w:rPr>
        <w:t>Measures the proportion of the labour force without employment. Sourced from the ONS Labour Market Statistics.</w:t>
      </w:r>
    </w:p>
    <w:p w14:paraId="39E61FF7">
      <w:pPr>
        <w:spacing w:line="360" w:lineRule="auto"/>
        <w:ind w:left="360"/>
        <w:jc w:val="center"/>
        <w:rPr>
          <w:rFonts w:ascii="Times New Roman" w:hAnsi="Times New Roman" w:cs="Times New Roman"/>
          <w:b/>
          <w:bCs/>
        </w:rPr>
      </w:pPr>
      <w:r>
        <w:rPr>
          <w:rFonts w:ascii="Times New Roman" w:hAnsi="Times New Roman" w:cs="Times New Roman"/>
          <w:b/>
          <w:bCs/>
          <w:sz w:val="20"/>
          <w:szCs w:val="20"/>
        </w:rPr>
        <w:t>Table 1: Description of Variables and Data Sources Used in the Study</w:t>
      </w:r>
    </w:p>
    <w:tbl>
      <w:tblPr>
        <w:tblStyle w:val="12"/>
        <w:tblW w:w="9320" w:type="dxa"/>
        <w:jc w:val="center"/>
        <w:tblLayout w:type="autofit"/>
        <w:tblCellMar>
          <w:top w:w="0" w:type="dxa"/>
          <w:left w:w="108" w:type="dxa"/>
          <w:bottom w:w="0" w:type="dxa"/>
          <w:right w:w="108" w:type="dxa"/>
        </w:tblCellMar>
      </w:tblPr>
      <w:tblGrid>
        <w:gridCol w:w="3260"/>
        <w:gridCol w:w="2640"/>
        <w:gridCol w:w="1940"/>
        <w:gridCol w:w="1480"/>
      </w:tblGrid>
      <w:tr w14:paraId="79D61F95">
        <w:tblPrEx>
          <w:tblCellMar>
            <w:top w:w="0" w:type="dxa"/>
            <w:left w:w="108" w:type="dxa"/>
            <w:bottom w:w="0" w:type="dxa"/>
            <w:right w:w="108" w:type="dxa"/>
          </w:tblCellMar>
        </w:tblPrEx>
        <w:trPr>
          <w:trHeight w:val="255" w:hRule="atLeast"/>
          <w:jc w:val="center"/>
        </w:trPr>
        <w:tc>
          <w:tcPr>
            <w:tcW w:w="3260" w:type="dxa"/>
            <w:tcBorders>
              <w:top w:val="single" w:color="auto" w:sz="4" w:space="0"/>
              <w:left w:val="nil"/>
              <w:bottom w:val="single" w:color="auto" w:sz="4" w:space="0"/>
              <w:right w:val="nil"/>
            </w:tcBorders>
            <w:noWrap/>
            <w:vAlign w:val="center"/>
          </w:tcPr>
          <w:p w14:paraId="4B4D790D">
            <w:pPr>
              <w:spacing w:after="0" w:line="240" w:lineRule="auto"/>
              <w:jc w:val="center"/>
              <w:rPr>
                <w:rFonts w:ascii="Times New Roman" w:hAnsi="Times New Roman" w:eastAsia="Times New Roman" w:cs="Times New Roman"/>
                <w:b/>
                <w:bCs/>
                <w:kern w:val="0"/>
                <w:sz w:val="20"/>
                <w:szCs w:val="20"/>
                <w:lang w:eastAsia="en-GB"/>
                <w14:ligatures w14:val="none"/>
              </w:rPr>
            </w:pPr>
            <w:r>
              <w:rPr>
                <w:rFonts w:ascii="Times New Roman" w:hAnsi="Times New Roman" w:eastAsia="Times New Roman" w:cs="Times New Roman"/>
                <w:b/>
                <w:bCs/>
                <w:kern w:val="0"/>
                <w:sz w:val="20"/>
                <w:szCs w:val="20"/>
                <w:lang w:eastAsia="en-GB"/>
                <w14:ligatures w14:val="none"/>
              </w:rPr>
              <w:t>Variable Name</w:t>
            </w:r>
          </w:p>
        </w:tc>
        <w:tc>
          <w:tcPr>
            <w:tcW w:w="2640" w:type="dxa"/>
            <w:tcBorders>
              <w:top w:val="single" w:color="auto" w:sz="4" w:space="0"/>
              <w:left w:val="nil"/>
              <w:bottom w:val="single" w:color="auto" w:sz="4" w:space="0"/>
              <w:right w:val="nil"/>
            </w:tcBorders>
            <w:noWrap/>
            <w:vAlign w:val="center"/>
          </w:tcPr>
          <w:p w14:paraId="5327E5E5">
            <w:pPr>
              <w:spacing w:after="0" w:line="240" w:lineRule="auto"/>
              <w:jc w:val="center"/>
              <w:rPr>
                <w:rFonts w:ascii="Times New Roman" w:hAnsi="Times New Roman" w:eastAsia="Times New Roman" w:cs="Times New Roman"/>
                <w:b/>
                <w:bCs/>
                <w:kern w:val="0"/>
                <w:sz w:val="20"/>
                <w:szCs w:val="20"/>
                <w:lang w:eastAsia="en-GB"/>
                <w14:ligatures w14:val="none"/>
              </w:rPr>
            </w:pPr>
            <w:r>
              <w:rPr>
                <w:rFonts w:ascii="Times New Roman" w:hAnsi="Times New Roman" w:eastAsia="Times New Roman" w:cs="Times New Roman"/>
                <w:b/>
                <w:bCs/>
                <w:kern w:val="0"/>
                <w:sz w:val="20"/>
                <w:szCs w:val="20"/>
                <w:lang w:eastAsia="en-GB"/>
                <w14:ligatures w14:val="none"/>
              </w:rPr>
              <w:t>Source</w:t>
            </w:r>
          </w:p>
        </w:tc>
        <w:tc>
          <w:tcPr>
            <w:tcW w:w="1940" w:type="dxa"/>
            <w:tcBorders>
              <w:top w:val="single" w:color="auto" w:sz="4" w:space="0"/>
              <w:left w:val="nil"/>
              <w:bottom w:val="single" w:color="auto" w:sz="4" w:space="0"/>
              <w:right w:val="nil"/>
            </w:tcBorders>
            <w:noWrap/>
            <w:vAlign w:val="center"/>
          </w:tcPr>
          <w:p w14:paraId="2CB0FA92">
            <w:pPr>
              <w:spacing w:after="0" w:line="240" w:lineRule="auto"/>
              <w:jc w:val="center"/>
              <w:rPr>
                <w:rFonts w:ascii="Times New Roman" w:hAnsi="Times New Roman" w:eastAsia="Times New Roman" w:cs="Times New Roman"/>
                <w:b/>
                <w:bCs/>
                <w:kern w:val="0"/>
                <w:sz w:val="20"/>
                <w:szCs w:val="20"/>
                <w:lang w:eastAsia="en-GB"/>
                <w14:ligatures w14:val="none"/>
              </w:rPr>
            </w:pPr>
            <w:r>
              <w:rPr>
                <w:rFonts w:ascii="Times New Roman" w:hAnsi="Times New Roman" w:eastAsia="Times New Roman" w:cs="Times New Roman"/>
                <w:b/>
                <w:bCs/>
                <w:kern w:val="0"/>
                <w:sz w:val="20"/>
                <w:szCs w:val="20"/>
                <w:lang w:eastAsia="en-GB"/>
                <w14:ligatures w14:val="none"/>
              </w:rPr>
              <w:t>Frequency</w:t>
            </w:r>
          </w:p>
        </w:tc>
        <w:tc>
          <w:tcPr>
            <w:tcW w:w="1480" w:type="dxa"/>
            <w:tcBorders>
              <w:top w:val="single" w:color="auto" w:sz="4" w:space="0"/>
              <w:left w:val="nil"/>
              <w:bottom w:val="single" w:color="auto" w:sz="4" w:space="0"/>
              <w:right w:val="nil"/>
            </w:tcBorders>
            <w:noWrap/>
            <w:vAlign w:val="center"/>
          </w:tcPr>
          <w:p w14:paraId="050BC5C8">
            <w:pPr>
              <w:spacing w:after="0" w:line="240" w:lineRule="auto"/>
              <w:jc w:val="center"/>
              <w:rPr>
                <w:rFonts w:ascii="Times New Roman" w:hAnsi="Times New Roman" w:eastAsia="Times New Roman" w:cs="Times New Roman"/>
                <w:b/>
                <w:bCs/>
                <w:kern w:val="0"/>
                <w:sz w:val="20"/>
                <w:szCs w:val="20"/>
                <w:lang w:eastAsia="en-GB"/>
                <w14:ligatures w14:val="none"/>
              </w:rPr>
            </w:pPr>
            <w:r>
              <w:rPr>
                <w:rFonts w:ascii="Times New Roman" w:hAnsi="Times New Roman" w:eastAsia="Times New Roman" w:cs="Times New Roman"/>
                <w:b/>
                <w:bCs/>
                <w:kern w:val="0"/>
                <w:sz w:val="20"/>
                <w:szCs w:val="20"/>
                <w:lang w:eastAsia="en-GB"/>
                <w14:ligatures w14:val="none"/>
              </w:rPr>
              <w:t>Unit</w:t>
            </w:r>
          </w:p>
        </w:tc>
      </w:tr>
      <w:tr w14:paraId="6AFA2BF7">
        <w:tblPrEx>
          <w:tblCellMar>
            <w:top w:w="0" w:type="dxa"/>
            <w:left w:w="108" w:type="dxa"/>
            <w:bottom w:w="0" w:type="dxa"/>
            <w:right w:w="108" w:type="dxa"/>
          </w:tblCellMar>
        </w:tblPrEx>
        <w:trPr>
          <w:trHeight w:val="255" w:hRule="atLeast"/>
          <w:jc w:val="center"/>
        </w:trPr>
        <w:tc>
          <w:tcPr>
            <w:tcW w:w="3260" w:type="dxa"/>
            <w:tcBorders>
              <w:top w:val="nil"/>
              <w:left w:val="nil"/>
              <w:bottom w:val="nil"/>
              <w:right w:val="nil"/>
            </w:tcBorders>
            <w:noWrap/>
            <w:vAlign w:val="center"/>
          </w:tcPr>
          <w:p w14:paraId="30AD0BD0">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Grocery/Food Expenditure</w:t>
            </w:r>
          </w:p>
        </w:tc>
        <w:tc>
          <w:tcPr>
            <w:tcW w:w="2640" w:type="dxa"/>
            <w:tcBorders>
              <w:top w:val="nil"/>
              <w:left w:val="nil"/>
              <w:bottom w:val="nil"/>
              <w:right w:val="nil"/>
            </w:tcBorders>
            <w:noWrap/>
            <w:vAlign w:val="center"/>
          </w:tcPr>
          <w:p w14:paraId="5A720950">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ONS Household Expenditure</w:t>
            </w:r>
          </w:p>
        </w:tc>
        <w:tc>
          <w:tcPr>
            <w:tcW w:w="1940" w:type="dxa"/>
            <w:tcBorders>
              <w:top w:val="nil"/>
              <w:left w:val="nil"/>
              <w:bottom w:val="nil"/>
              <w:right w:val="nil"/>
            </w:tcBorders>
            <w:noWrap/>
            <w:vAlign w:val="center"/>
          </w:tcPr>
          <w:p w14:paraId="19977A03">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Quarterly</w:t>
            </w:r>
          </w:p>
        </w:tc>
        <w:tc>
          <w:tcPr>
            <w:tcW w:w="1480" w:type="dxa"/>
            <w:tcBorders>
              <w:top w:val="nil"/>
              <w:left w:val="nil"/>
              <w:bottom w:val="nil"/>
              <w:right w:val="nil"/>
            </w:tcBorders>
            <w:noWrap/>
            <w:vAlign w:val="center"/>
          </w:tcPr>
          <w:p w14:paraId="085B55E6">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 millions</w:t>
            </w:r>
          </w:p>
        </w:tc>
      </w:tr>
      <w:tr w14:paraId="1772BD84">
        <w:tblPrEx>
          <w:tblCellMar>
            <w:top w:w="0" w:type="dxa"/>
            <w:left w:w="108" w:type="dxa"/>
            <w:bottom w:w="0" w:type="dxa"/>
            <w:right w:w="108" w:type="dxa"/>
          </w:tblCellMar>
        </w:tblPrEx>
        <w:trPr>
          <w:trHeight w:val="255" w:hRule="atLeast"/>
          <w:jc w:val="center"/>
        </w:trPr>
        <w:tc>
          <w:tcPr>
            <w:tcW w:w="3260" w:type="dxa"/>
            <w:tcBorders>
              <w:top w:val="nil"/>
              <w:left w:val="nil"/>
              <w:bottom w:val="nil"/>
              <w:right w:val="nil"/>
            </w:tcBorders>
            <w:noWrap/>
            <w:vAlign w:val="center"/>
          </w:tcPr>
          <w:p w14:paraId="3495EB78">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CPI (Inflation)</w:t>
            </w:r>
          </w:p>
        </w:tc>
        <w:tc>
          <w:tcPr>
            <w:tcW w:w="2640" w:type="dxa"/>
            <w:tcBorders>
              <w:top w:val="nil"/>
              <w:left w:val="nil"/>
              <w:bottom w:val="nil"/>
              <w:right w:val="nil"/>
            </w:tcBorders>
            <w:noWrap/>
            <w:vAlign w:val="center"/>
          </w:tcPr>
          <w:p w14:paraId="76FE7EED">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FRED (UK CPI)</w:t>
            </w:r>
          </w:p>
        </w:tc>
        <w:tc>
          <w:tcPr>
            <w:tcW w:w="1940" w:type="dxa"/>
            <w:tcBorders>
              <w:top w:val="nil"/>
              <w:left w:val="nil"/>
              <w:bottom w:val="nil"/>
              <w:right w:val="nil"/>
            </w:tcBorders>
            <w:noWrap/>
            <w:vAlign w:val="center"/>
          </w:tcPr>
          <w:p w14:paraId="3AAD08EE">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 xml:space="preserve">Quarterly </w:t>
            </w:r>
          </w:p>
        </w:tc>
        <w:tc>
          <w:tcPr>
            <w:tcW w:w="1480" w:type="dxa"/>
            <w:tcBorders>
              <w:top w:val="nil"/>
              <w:left w:val="nil"/>
              <w:bottom w:val="nil"/>
              <w:right w:val="nil"/>
            </w:tcBorders>
            <w:noWrap/>
            <w:vAlign w:val="center"/>
          </w:tcPr>
          <w:p w14:paraId="46432799">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Index</w:t>
            </w:r>
          </w:p>
        </w:tc>
      </w:tr>
      <w:tr w14:paraId="245B21DD">
        <w:tblPrEx>
          <w:tblCellMar>
            <w:top w:w="0" w:type="dxa"/>
            <w:left w:w="108" w:type="dxa"/>
            <w:bottom w:w="0" w:type="dxa"/>
            <w:right w:w="108" w:type="dxa"/>
          </w:tblCellMar>
        </w:tblPrEx>
        <w:trPr>
          <w:trHeight w:val="255" w:hRule="atLeast"/>
          <w:jc w:val="center"/>
        </w:trPr>
        <w:tc>
          <w:tcPr>
            <w:tcW w:w="3260" w:type="dxa"/>
            <w:tcBorders>
              <w:top w:val="nil"/>
              <w:left w:val="nil"/>
              <w:bottom w:val="nil"/>
              <w:right w:val="nil"/>
            </w:tcBorders>
            <w:noWrap/>
            <w:vAlign w:val="center"/>
          </w:tcPr>
          <w:p w14:paraId="64413B17">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Real Household Disposable Income</w:t>
            </w:r>
          </w:p>
        </w:tc>
        <w:tc>
          <w:tcPr>
            <w:tcW w:w="2640" w:type="dxa"/>
            <w:tcBorders>
              <w:top w:val="nil"/>
              <w:left w:val="nil"/>
              <w:bottom w:val="nil"/>
              <w:right w:val="nil"/>
            </w:tcBorders>
            <w:noWrap/>
            <w:vAlign w:val="center"/>
          </w:tcPr>
          <w:p w14:paraId="1C7137F9">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ONS</w:t>
            </w:r>
          </w:p>
        </w:tc>
        <w:tc>
          <w:tcPr>
            <w:tcW w:w="1940" w:type="dxa"/>
            <w:tcBorders>
              <w:top w:val="nil"/>
              <w:left w:val="nil"/>
              <w:bottom w:val="nil"/>
              <w:right w:val="nil"/>
            </w:tcBorders>
            <w:noWrap/>
            <w:vAlign w:val="center"/>
          </w:tcPr>
          <w:p w14:paraId="62218C42">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Quarterly</w:t>
            </w:r>
          </w:p>
        </w:tc>
        <w:tc>
          <w:tcPr>
            <w:tcW w:w="1480" w:type="dxa"/>
            <w:tcBorders>
              <w:top w:val="nil"/>
              <w:left w:val="nil"/>
              <w:bottom w:val="nil"/>
              <w:right w:val="nil"/>
            </w:tcBorders>
            <w:noWrap/>
            <w:vAlign w:val="center"/>
          </w:tcPr>
          <w:p w14:paraId="1A02F803">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 per head</w:t>
            </w:r>
          </w:p>
        </w:tc>
      </w:tr>
      <w:tr w14:paraId="2ACB4682">
        <w:tblPrEx>
          <w:tblCellMar>
            <w:top w:w="0" w:type="dxa"/>
            <w:left w:w="108" w:type="dxa"/>
            <w:bottom w:w="0" w:type="dxa"/>
            <w:right w:w="108" w:type="dxa"/>
          </w:tblCellMar>
        </w:tblPrEx>
        <w:trPr>
          <w:trHeight w:val="255" w:hRule="atLeast"/>
          <w:jc w:val="center"/>
        </w:trPr>
        <w:tc>
          <w:tcPr>
            <w:tcW w:w="3260" w:type="dxa"/>
            <w:tcBorders>
              <w:top w:val="nil"/>
              <w:left w:val="nil"/>
              <w:bottom w:val="nil"/>
              <w:right w:val="nil"/>
            </w:tcBorders>
            <w:noWrap/>
            <w:vAlign w:val="center"/>
          </w:tcPr>
          <w:p w14:paraId="1F7ADD58">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Unemployment Rate</w:t>
            </w:r>
          </w:p>
        </w:tc>
        <w:tc>
          <w:tcPr>
            <w:tcW w:w="2640" w:type="dxa"/>
            <w:tcBorders>
              <w:top w:val="nil"/>
              <w:left w:val="nil"/>
              <w:bottom w:val="nil"/>
              <w:right w:val="nil"/>
            </w:tcBorders>
            <w:noWrap/>
            <w:vAlign w:val="center"/>
          </w:tcPr>
          <w:p w14:paraId="4AA70227">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ONS Labour Market Stats</w:t>
            </w:r>
          </w:p>
        </w:tc>
        <w:tc>
          <w:tcPr>
            <w:tcW w:w="1940" w:type="dxa"/>
            <w:tcBorders>
              <w:top w:val="nil"/>
              <w:left w:val="nil"/>
              <w:bottom w:val="nil"/>
              <w:right w:val="nil"/>
            </w:tcBorders>
            <w:noWrap/>
            <w:vAlign w:val="center"/>
          </w:tcPr>
          <w:p w14:paraId="099B7559">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Quarterly</w:t>
            </w:r>
          </w:p>
        </w:tc>
        <w:tc>
          <w:tcPr>
            <w:tcW w:w="1480" w:type="dxa"/>
            <w:tcBorders>
              <w:top w:val="nil"/>
              <w:left w:val="nil"/>
              <w:bottom w:val="nil"/>
              <w:right w:val="nil"/>
            </w:tcBorders>
            <w:noWrap/>
            <w:vAlign w:val="center"/>
          </w:tcPr>
          <w:p w14:paraId="2558BD5D">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Percentage (%)</w:t>
            </w:r>
          </w:p>
        </w:tc>
      </w:tr>
      <w:tr w14:paraId="107D222B">
        <w:tblPrEx>
          <w:tblCellMar>
            <w:top w:w="0" w:type="dxa"/>
            <w:left w:w="108" w:type="dxa"/>
            <w:bottom w:w="0" w:type="dxa"/>
            <w:right w:w="108" w:type="dxa"/>
          </w:tblCellMar>
        </w:tblPrEx>
        <w:trPr>
          <w:trHeight w:val="255" w:hRule="atLeast"/>
          <w:jc w:val="center"/>
        </w:trPr>
        <w:tc>
          <w:tcPr>
            <w:tcW w:w="3260" w:type="dxa"/>
            <w:tcBorders>
              <w:top w:val="nil"/>
              <w:left w:val="nil"/>
              <w:bottom w:val="single" w:color="auto" w:sz="4" w:space="0"/>
              <w:right w:val="nil"/>
            </w:tcBorders>
            <w:noWrap/>
            <w:vAlign w:val="center"/>
          </w:tcPr>
          <w:p w14:paraId="10F86856">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Total Household Expenditure</w:t>
            </w:r>
          </w:p>
        </w:tc>
        <w:tc>
          <w:tcPr>
            <w:tcW w:w="2640" w:type="dxa"/>
            <w:tcBorders>
              <w:top w:val="nil"/>
              <w:left w:val="nil"/>
              <w:bottom w:val="single" w:color="auto" w:sz="4" w:space="0"/>
              <w:right w:val="nil"/>
            </w:tcBorders>
            <w:noWrap/>
            <w:vAlign w:val="center"/>
          </w:tcPr>
          <w:p w14:paraId="0CFE22E0">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ONS</w:t>
            </w:r>
          </w:p>
        </w:tc>
        <w:tc>
          <w:tcPr>
            <w:tcW w:w="1940" w:type="dxa"/>
            <w:tcBorders>
              <w:top w:val="nil"/>
              <w:left w:val="nil"/>
              <w:bottom w:val="single" w:color="auto" w:sz="4" w:space="0"/>
              <w:right w:val="nil"/>
            </w:tcBorders>
            <w:noWrap/>
            <w:vAlign w:val="center"/>
          </w:tcPr>
          <w:p w14:paraId="31CD1332">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Quarterly</w:t>
            </w:r>
          </w:p>
        </w:tc>
        <w:tc>
          <w:tcPr>
            <w:tcW w:w="1480" w:type="dxa"/>
            <w:tcBorders>
              <w:top w:val="nil"/>
              <w:left w:val="nil"/>
              <w:bottom w:val="single" w:color="auto" w:sz="4" w:space="0"/>
              <w:right w:val="nil"/>
            </w:tcBorders>
            <w:noWrap/>
            <w:vAlign w:val="center"/>
          </w:tcPr>
          <w:p w14:paraId="6BF0E7E1">
            <w:pPr>
              <w:spacing w:after="0" w:line="240" w:lineRule="auto"/>
              <w:rPr>
                <w:rFonts w:ascii="Times New Roman" w:hAnsi="Times New Roman" w:eastAsia="Times New Roman" w:cs="Times New Roman"/>
                <w:kern w:val="0"/>
                <w:sz w:val="20"/>
                <w:szCs w:val="20"/>
                <w:lang w:eastAsia="en-GB"/>
                <w14:ligatures w14:val="none"/>
              </w:rPr>
            </w:pPr>
            <w:r>
              <w:rPr>
                <w:rFonts w:ascii="Times New Roman" w:hAnsi="Times New Roman" w:eastAsia="Times New Roman" w:cs="Times New Roman"/>
                <w:kern w:val="0"/>
                <w:sz w:val="20"/>
                <w:szCs w:val="20"/>
                <w:lang w:eastAsia="en-GB"/>
                <w14:ligatures w14:val="none"/>
              </w:rPr>
              <w:t>£ millions</w:t>
            </w:r>
          </w:p>
        </w:tc>
      </w:tr>
    </w:tbl>
    <w:p w14:paraId="0853B141">
      <w:pPr>
        <w:spacing w:line="360" w:lineRule="auto"/>
        <w:rPr>
          <w:rFonts w:ascii="Times New Roman" w:hAnsi="Times New Roman" w:cs="Times New Roman"/>
          <w:b/>
          <w:bCs/>
        </w:rPr>
      </w:pPr>
    </w:p>
    <w:p w14:paraId="7CB53873">
      <w:pPr>
        <w:spacing w:line="360" w:lineRule="auto"/>
        <w:rPr>
          <w:rFonts w:ascii="Times New Roman" w:hAnsi="Times New Roman" w:cs="Times New Roman"/>
          <w:b/>
          <w:bCs/>
        </w:rPr>
      </w:pPr>
    </w:p>
    <w:p w14:paraId="1D8F4BD6">
      <w:pPr>
        <w:spacing w:line="360" w:lineRule="auto"/>
        <w:rPr>
          <w:rFonts w:ascii="Times New Roman" w:hAnsi="Times New Roman" w:cs="Times New Roman"/>
          <w:b/>
          <w:bCs/>
        </w:rPr>
      </w:pPr>
    </w:p>
    <w:p w14:paraId="30B92490">
      <w:pPr>
        <w:pStyle w:val="2"/>
      </w:pPr>
      <w:bookmarkStart w:id="12" w:name="_Toc218351975"/>
      <w:r>
        <w:t>5. Methodology</w:t>
      </w:r>
      <w:bookmarkEnd w:id="12"/>
      <w:r>
        <w:t xml:space="preserve"> </w:t>
      </w:r>
    </w:p>
    <w:p w14:paraId="43DC8F84">
      <w:pPr>
        <w:pStyle w:val="3"/>
      </w:pPr>
      <w:bookmarkStart w:id="13" w:name="_Toc218351976"/>
      <w:r>
        <w:t>5.1 Research Design</w:t>
      </w:r>
      <w:bookmarkEnd w:id="13"/>
    </w:p>
    <w:p w14:paraId="1E7BDD49">
      <w:pPr>
        <w:pStyle w:val="18"/>
        <w:spacing w:line="360" w:lineRule="auto"/>
        <w:jc w:val="both"/>
      </w:pPr>
      <w:r>
        <w:t>The research design embraced in this study is a quantitative, time series econometric research design that focuses on the effects of inflation on the UK grocery spending between 2000 and 2023. The time-series analysis is suitable as the goal is to detect long-run and short-run relations between macroeconomic variables which change with time. The use of secondary data derived in authoritative institutions (ONS, FRED) is based on their reliability, representativeness and consistency. The long-horizon modelling is also feasible with the help of secondary sources, which is not possible to achieve with primary data collection.</w:t>
      </w:r>
    </w:p>
    <w:p w14:paraId="3F7A20F6">
      <w:pPr>
        <w:pStyle w:val="3"/>
      </w:pPr>
      <w:bookmarkStart w:id="14" w:name="_Toc218351977"/>
      <w:r>
        <w:t>5.2 Data Preparation</w:t>
      </w:r>
      <w:bookmarkEnd w:id="14"/>
    </w:p>
    <w:p w14:paraId="4923963D">
      <w:pPr>
        <w:pStyle w:val="18"/>
        <w:spacing w:line="480" w:lineRule="auto"/>
        <w:jc w:val="both"/>
      </w:pPr>
      <w:r>
        <w:t>To achieve comparability between variables and overcome the problems of scale, the study uses logarithmic transformations of expenditure, CPI, and income. Logs can be used to interpret elasticity as well as stabilizing variance. The unemployment rate is left in percentages format and that is why it stays in levels.</w:t>
      </w:r>
    </w:p>
    <w:p w14:paraId="72AFA94F">
      <w:pPr>
        <w:pStyle w:val="18"/>
        <w:spacing w:line="480" w:lineRule="auto"/>
        <w:jc w:val="both"/>
      </w:pPr>
      <w:r>
        <w:t xml:space="preserve">First differences and percentage changes are also computed in the study to perform exploratory analysis and test the stationarity. In order to capture delayed behavioural reactions, lagged forms of CPI (e.g </w:t>
      </w:r>
      <m:oMath>
        <m:r>
          <m:rPr/>
          <w:rPr>
            <w:rFonts w:ascii="Cambria Math" w:hAnsi="Cambria Math"/>
          </w:rPr>
          <m:t>CP</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t−1</m:t>
            </m:r>
            <m:ctrlPr>
              <w:rPr>
                <w:rFonts w:ascii="Cambria Math" w:hAnsi="Cambria Math"/>
                <w:i/>
              </w:rPr>
            </m:ctrlPr>
          </m:sub>
        </m:sSub>
      </m:oMath>
      <w:r>
        <w:t>) are also constructed since consumption habits can be changed by households slowly. The last dataset is checked on missing values, structural discontinuities and seasonality.</w:t>
      </w:r>
    </w:p>
    <w:p w14:paraId="0065682B">
      <w:pPr>
        <w:pStyle w:val="3"/>
      </w:pPr>
      <w:bookmarkStart w:id="15" w:name="_Toc218351978"/>
      <w:r>
        <w:t>5.3 Model Development</w:t>
      </w:r>
      <w:bookmarkEnd w:id="15"/>
    </w:p>
    <w:p w14:paraId="6E5CB225">
      <w:pPr>
        <w:pStyle w:val="18"/>
      </w:pPr>
      <w:r>
        <w:t>Three regression models are estimated:</w:t>
      </w:r>
    </w:p>
    <w:p w14:paraId="273B94A2">
      <w:pPr>
        <w:pStyle w:val="18"/>
      </w:pPr>
      <w:r>
        <w:rPr>
          <w:rStyle w:val="20"/>
          <w:rFonts w:eastAsiaTheme="majorEastAsia"/>
        </w:rPr>
        <w:t>Baseline bivariate model</w:t>
      </w:r>
      <w:r>
        <w:t>:</w:t>
      </w:r>
    </w:p>
    <w:p w14:paraId="38929E44">
      <w:pPr>
        <w:jc w:val="center"/>
        <w:rPr>
          <w:rStyle w:val="51"/>
          <w:rFonts w:ascii="Times New Roman" w:hAnsi="Times New Roman" w:cs="Times New Roman"/>
        </w:rPr>
      </w:pPr>
      <m:oMathPara>
        <m:oMath>
          <m:r>
            <m:rPr/>
            <w:rPr>
              <w:rStyle w:val="51"/>
              <w:rFonts w:ascii="Cambria Math" w:hAnsi="Cambria Math" w:cs="Times New Roman"/>
            </w:rPr>
            <m:t>ln(G</m:t>
          </m:r>
          <m:sSub>
            <m:sSubPr>
              <m:ctrlPr>
                <w:rPr>
                  <w:rStyle w:val="51"/>
                  <w:rFonts w:ascii="Cambria Math" w:hAnsi="Cambria Math" w:cs="Times New Roman"/>
                  <w:i/>
                </w:rPr>
              </m:ctrlPr>
            </m:sSubPr>
            <m:e>
              <m:r>
                <m:rPr/>
                <w:rPr>
                  <w:rStyle w:val="51"/>
                  <w:rFonts w:ascii="Cambria Math" w:hAnsi="Cambria Math" w:cs="Times New Roman"/>
                </w:rPr>
                <m:t>E</m:t>
              </m:r>
              <m:ctrlPr>
                <w:rPr>
                  <w:rStyle w:val="51"/>
                  <w:rFonts w:ascii="Cambria Math" w:hAnsi="Cambria Math" w:cs="Times New Roman"/>
                  <w:i/>
                </w:rPr>
              </m:ctrlPr>
            </m:e>
            <m:sub>
              <m:r>
                <m:rPr/>
                <w:rPr>
                  <w:rStyle w:val="51"/>
                  <w:rFonts w:ascii="Cambria Math" w:hAnsi="Cambria Math" w:cs="Times New Roman"/>
                </w:rPr>
                <m:t>t</m:t>
              </m:r>
              <m:ctrlPr>
                <w:rPr>
                  <w:rStyle w:val="51"/>
                  <w:rFonts w:ascii="Cambria Math" w:hAnsi="Cambria Math" w:cs="Times New Roman"/>
                  <w:i/>
                </w:rPr>
              </m:ctrlPr>
            </m:sub>
          </m:sSub>
          <m:r>
            <m:rPr/>
            <w:rPr>
              <w:rStyle w:val="51"/>
              <w:rFonts w:ascii="Cambria Math" w:hAnsi="Cambria Math" w:cs="Times New Roman"/>
            </w:rPr>
            <m:t>)=</m:t>
          </m:r>
          <m:sSub>
            <m:sSubPr>
              <m:ctrlPr>
                <w:rPr>
                  <w:rStyle w:val="51"/>
                  <w:rFonts w:ascii="Cambria Math" w:hAnsi="Cambria Math" w:cs="Times New Roman"/>
                  <w:i/>
                </w:rPr>
              </m:ctrlPr>
            </m:sSubPr>
            <m:e>
              <m:r>
                <m:rPr/>
                <w:rPr>
                  <w:rStyle w:val="51"/>
                  <w:rFonts w:ascii="Cambria Math" w:hAnsi="Cambria Math" w:cs="Times New Roman"/>
                </w:rPr>
                <m:t>β</m:t>
              </m:r>
              <m:ctrlPr>
                <w:rPr>
                  <w:rStyle w:val="51"/>
                  <w:rFonts w:ascii="Cambria Math" w:hAnsi="Cambria Math" w:cs="Times New Roman"/>
                  <w:i/>
                </w:rPr>
              </m:ctrlPr>
            </m:e>
            <m:sub>
              <m:r>
                <m:rPr/>
                <w:rPr>
                  <w:rStyle w:val="51"/>
                  <w:rFonts w:ascii="Cambria Math" w:hAnsi="Cambria Math" w:cs="Times New Roman"/>
                </w:rPr>
                <m:t>0</m:t>
              </m:r>
              <m:ctrlPr>
                <w:rPr>
                  <w:rStyle w:val="51"/>
                  <w:rFonts w:ascii="Cambria Math" w:hAnsi="Cambria Math" w:cs="Times New Roman"/>
                  <w:i/>
                </w:rPr>
              </m:ctrlPr>
            </m:sub>
          </m:sSub>
          <m:r>
            <m:rPr/>
            <w:rPr>
              <w:rStyle w:val="51"/>
              <w:rFonts w:ascii="Cambria Math" w:hAnsi="Cambria Math" w:cs="Times New Roman"/>
            </w:rPr>
            <m:t>+</m:t>
          </m:r>
          <m:sSub>
            <m:sSubPr>
              <m:ctrlPr>
                <w:rPr>
                  <w:rStyle w:val="51"/>
                  <w:rFonts w:ascii="Cambria Math" w:hAnsi="Cambria Math" w:cs="Times New Roman"/>
                  <w:i/>
                </w:rPr>
              </m:ctrlPr>
            </m:sSubPr>
            <m:e>
              <m:r>
                <m:rPr/>
                <w:rPr>
                  <w:rStyle w:val="51"/>
                  <w:rFonts w:ascii="Cambria Math" w:hAnsi="Cambria Math" w:cs="Times New Roman"/>
                </w:rPr>
                <m:t>β</m:t>
              </m:r>
              <m:ctrlPr>
                <w:rPr>
                  <w:rStyle w:val="51"/>
                  <w:rFonts w:ascii="Cambria Math" w:hAnsi="Cambria Math" w:cs="Times New Roman"/>
                  <w:i/>
                </w:rPr>
              </m:ctrlPr>
            </m:e>
            <m:sub>
              <m:r>
                <m:rPr/>
                <w:rPr>
                  <w:rStyle w:val="51"/>
                  <w:rFonts w:ascii="Cambria Math" w:hAnsi="Cambria Math" w:cs="Times New Roman"/>
                </w:rPr>
                <m:t>1</m:t>
              </m:r>
              <m:ctrlPr>
                <w:rPr>
                  <w:rStyle w:val="51"/>
                  <w:rFonts w:ascii="Cambria Math" w:hAnsi="Cambria Math" w:cs="Times New Roman"/>
                  <w:i/>
                </w:rPr>
              </m:ctrlPr>
            </m:sub>
          </m:sSub>
          <m:r>
            <m:rPr/>
            <w:rPr>
              <w:rStyle w:val="51"/>
              <w:rFonts w:ascii="Cambria Math" w:hAnsi="Cambria Math" w:cs="Times New Roman"/>
            </w:rPr>
            <m:t>ln(CP</m:t>
          </m:r>
          <m:sSub>
            <m:sSubPr>
              <m:ctrlPr>
                <w:rPr>
                  <w:rStyle w:val="51"/>
                  <w:rFonts w:ascii="Cambria Math" w:hAnsi="Cambria Math" w:cs="Times New Roman"/>
                  <w:i/>
                </w:rPr>
              </m:ctrlPr>
            </m:sSubPr>
            <m:e>
              <m:r>
                <m:rPr/>
                <w:rPr>
                  <w:rStyle w:val="51"/>
                  <w:rFonts w:ascii="Cambria Math" w:hAnsi="Cambria Math" w:cs="Times New Roman"/>
                </w:rPr>
                <m:t>I</m:t>
              </m:r>
              <m:ctrlPr>
                <w:rPr>
                  <w:rStyle w:val="51"/>
                  <w:rFonts w:ascii="Cambria Math" w:hAnsi="Cambria Math" w:cs="Times New Roman"/>
                  <w:i/>
                </w:rPr>
              </m:ctrlPr>
            </m:e>
            <m:sub>
              <m:r>
                <m:rPr/>
                <w:rPr>
                  <w:rStyle w:val="51"/>
                  <w:rFonts w:ascii="Cambria Math" w:hAnsi="Cambria Math" w:cs="Times New Roman"/>
                </w:rPr>
                <m:t>t</m:t>
              </m:r>
              <m:ctrlPr>
                <w:rPr>
                  <w:rStyle w:val="51"/>
                  <w:rFonts w:ascii="Cambria Math" w:hAnsi="Cambria Math" w:cs="Times New Roman"/>
                  <w:i/>
                </w:rPr>
              </m:ctrlPr>
            </m:sub>
          </m:sSub>
          <m:r>
            <m:rPr/>
            <w:rPr>
              <w:rStyle w:val="51"/>
              <w:rFonts w:ascii="Cambria Math" w:hAnsi="Cambria Math" w:cs="Times New Roman"/>
            </w:rPr>
            <m:t>)+</m:t>
          </m:r>
          <m:sSub>
            <m:sSubPr>
              <m:ctrlPr>
                <w:rPr>
                  <w:rStyle w:val="51"/>
                  <w:rFonts w:ascii="Cambria Math" w:hAnsi="Cambria Math" w:cs="Times New Roman"/>
                  <w:i/>
                </w:rPr>
              </m:ctrlPr>
            </m:sSubPr>
            <m:e>
              <m:r>
                <m:rPr/>
                <w:rPr>
                  <w:rStyle w:val="51"/>
                  <w:rFonts w:ascii="Cambria Math" w:hAnsi="Cambria Math" w:cs="Times New Roman"/>
                </w:rPr>
                <m:t>ϵ</m:t>
              </m:r>
              <m:ctrlPr>
                <w:rPr>
                  <w:rStyle w:val="51"/>
                  <w:rFonts w:ascii="Cambria Math" w:hAnsi="Cambria Math" w:cs="Times New Roman"/>
                  <w:i/>
                </w:rPr>
              </m:ctrlPr>
            </m:e>
            <m:sub>
              <m:r>
                <m:rPr/>
                <w:rPr>
                  <w:rStyle w:val="51"/>
                  <w:rFonts w:ascii="Cambria Math" w:hAnsi="Cambria Math" w:cs="Times New Roman"/>
                </w:rPr>
                <m:t>t</m:t>
              </m:r>
              <m:ctrlPr>
                <w:rPr>
                  <w:rStyle w:val="51"/>
                  <w:rFonts w:ascii="Cambria Math" w:hAnsi="Cambria Math" w:cs="Times New Roman"/>
                  <w:i/>
                </w:rPr>
              </m:ctrlPr>
            </m:sub>
          </m:sSub>
        </m:oMath>
      </m:oMathPara>
    </w:p>
    <w:p w14:paraId="2E98AD05">
      <w:pPr>
        <w:rPr>
          <w:rFonts w:ascii="Times New Roman" w:hAnsi="Times New Roman" w:cs="Times New Roman"/>
        </w:rPr>
      </w:pPr>
      <w:r>
        <w:rPr>
          <w:rStyle w:val="20"/>
          <w:rFonts w:ascii="Times New Roman" w:hAnsi="Times New Roman" w:cs="Times New Roman"/>
        </w:rPr>
        <w:t>Multiple regression with controls</w:t>
      </w:r>
      <w:r>
        <w:rPr>
          <w:rFonts w:ascii="Times New Roman" w:hAnsi="Times New Roman" w:cs="Times New Roman"/>
        </w:rPr>
        <w:t>:</w:t>
      </w:r>
    </w:p>
    <w:p w14:paraId="10979CEF">
      <w:pPr>
        <w:jc w:val="center"/>
        <w:rPr>
          <w:rStyle w:val="51"/>
          <w:rFonts w:ascii="Times New Roman" w:hAnsi="Times New Roman" w:cs="Times New Roman"/>
        </w:rPr>
      </w:pPr>
      <m:oMathPara>
        <m:oMath>
          <m:r>
            <m:rPr/>
            <w:rPr>
              <w:rStyle w:val="51"/>
              <w:rFonts w:ascii="Cambria Math" w:hAnsi="Cambria Math" w:cs="Times New Roman"/>
            </w:rPr>
            <m:t>ln(G</m:t>
          </m:r>
          <m:sSub>
            <m:sSubPr>
              <m:ctrlPr>
                <w:rPr>
                  <w:rStyle w:val="51"/>
                  <w:rFonts w:ascii="Cambria Math" w:hAnsi="Cambria Math" w:cs="Times New Roman"/>
                  <w:i/>
                </w:rPr>
              </m:ctrlPr>
            </m:sSubPr>
            <m:e>
              <m:r>
                <m:rPr/>
                <w:rPr>
                  <w:rStyle w:val="51"/>
                  <w:rFonts w:ascii="Cambria Math" w:hAnsi="Cambria Math" w:cs="Times New Roman"/>
                </w:rPr>
                <m:t>E</m:t>
              </m:r>
              <m:ctrlPr>
                <w:rPr>
                  <w:rStyle w:val="51"/>
                  <w:rFonts w:ascii="Cambria Math" w:hAnsi="Cambria Math" w:cs="Times New Roman"/>
                  <w:i/>
                </w:rPr>
              </m:ctrlPr>
            </m:e>
            <m:sub>
              <m:r>
                <m:rPr/>
                <w:rPr>
                  <w:rStyle w:val="51"/>
                  <w:rFonts w:ascii="Cambria Math" w:hAnsi="Cambria Math" w:cs="Times New Roman"/>
                </w:rPr>
                <m:t>t</m:t>
              </m:r>
              <m:ctrlPr>
                <w:rPr>
                  <w:rStyle w:val="51"/>
                  <w:rFonts w:ascii="Cambria Math" w:hAnsi="Cambria Math" w:cs="Times New Roman"/>
                  <w:i/>
                </w:rPr>
              </m:ctrlPr>
            </m:sub>
          </m:sSub>
          <m:r>
            <m:rPr/>
            <w:rPr>
              <w:rStyle w:val="51"/>
              <w:rFonts w:ascii="Cambria Math" w:hAnsi="Cambria Math" w:cs="Times New Roman"/>
            </w:rPr>
            <m:t>)=</m:t>
          </m:r>
          <m:sSub>
            <m:sSubPr>
              <m:ctrlPr>
                <w:rPr>
                  <w:rStyle w:val="51"/>
                  <w:rFonts w:ascii="Cambria Math" w:hAnsi="Cambria Math" w:cs="Times New Roman"/>
                  <w:i/>
                </w:rPr>
              </m:ctrlPr>
            </m:sSubPr>
            <m:e>
              <m:r>
                <m:rPr/>
                <w:rPr>
                  <w:rStyle w:val="51"/>
                  <w:rFonts w:ascii="Cambria Math" w:hAnsi="Cambria Math" w:cs="Times New Roman"/>
                </w:rPr>
                <m:t>β</m:t>
              </m:r>
              <m:ctrlPr>
                <w:rPr>
                  <w:rStyle w:val="51"/>
                  <w:rFonts w:ascii="Cambria Math" w:hAnsi="Cambria Math" w:cs="Times New Roman"/>
                  <w:i/>
                </w:rPr>
              </m:ctrlPr>
            </m:e>
            <m:sub>
              <m:r>
                <m:rPr/>
                <w:rPr>
                  <w:rStyle w:val="51"/>
                  <w:rFonts w:ascii="Cambria Math" w:hAnsi="Cambria Math" w:cs="Times New Roman"/>
                </w:rPr>
                <m:t>0</m:t>
              </m:r>
              <m:ctrlPr>
                <w:rPr>
                  <w:rStyle w:val="51"/>
                  <w:rFonts w:ascii="Cambria Math" w:hAnsi="Cambria Math" w:cs="Times New Roman"/>
                  <w:i/>
                </w:rPr>
              </m:ctrlPr>
            </m:sub>
          </m:sSub>
          <m:r>
            <m:rPr/>
            <w:rPr>
              <w:rStyle w:val="51"/>
              <w:rFonts w:ascii="Cambria Math" w:hAnsi="Cambria Math" w:cs="Times New Roman"/>
            </w:rPr>
            <m:t>+</m:t>
          </m:r>
          <m:sSub>
            <m:sSubPr>
              <m:ctrlPr>
                <w:rPr>
                  <w:rStyle w:val="51"/>
                  <w:rFonts w:ascii="Cambria Math" w:hAnsi="Cambria Math" w:cs="Times New Roman"/>
                  <w:i/>
                </w:rPr>
              </m:ctrlPr>
            </m:sSubPr>
            <m:e>
              <m:r>
                <m:rPr/>
                <w:rPr>
                  <w:rStyle w:val="51"/>
                  <w:rFonts w:ascii="Cambria Math" w:hAnsi="Cambria Math" w:cs="Times New Roman"/>
                </w:rPr>
                <m:t>β</m:t>
              </m:r>
              <m:ctrlPr>
                <w:rPr>
                  <w:rStyle w:val="51"/>
                  <w:rFonts w:ascii="Cambria Math" w:hAnsi="Cambria Math" w:cs="Times New Roman"/>
                  <w:i/>
                </w:rPr>
              </m:ctrlPr>
            </m:e>
            <m:sub>
              <m:r>
                <m:rPr/>
                <w:rPr>
                  <w:rStyle w:val="51"/>
                  <w:rFonts w:ascii="Cambria Math" w:hAnsi="Cambria Math" w:cs="Times New Roman"/>
                </w:rPr>
                <m:t>1</m:t>
              </m:r>
              <m:ctrlPr>
                <w:rPr>
                  <w:rStyle w:val="51"/>
                  <w:rFonts w:ascii="Cambria Math" w:hAnsi="Cambria Math" w:cs="Times New Roman"/>
                  <w:i/>
                </w:rPr>
              </m:ctrlPr>
            </m:sub>
          </m:sSub>
          <m:r>
            <m:rPr/>
            <w:rPr>
              <w:rStyle w:val="51"/>
              <w:rFonts w:ascii="Cambria Math" w:hAnsi="Cambria Math" w:cs="Times New Roman"/>
            </w:rPr>
            <m:t>ln(CP</m:t>
          </m:r>
          <m:sSub>
            <m:sSubPr>
              <m:ctrlPr>
                <w:rPr>
                  <w:rStyle w:val="51"/>
                  <w:rFonts w:ascii="Cambria Math" w:hAnsi="Cambria Math" w:cs="Times New Roman"/>
                  <w:i/>
                </w:rPr>
              </m:ctrlPr>
            </m:sSubPr>
            <m:e>
              <m:r>
                <m:rPr/>
                <w:rPr>
                  <w:rStyle w:val="51"/>
                  <w:rFonts w:ascii="Cambria Math" w:hAnsi="Cambria Math" w:cs="Times New Roman"/>
                </w:rPr>
                <m:t>I</m:t>
              </m:r>
              <m:ctrlPr>
                <w:rPr>
                  <w:rStyle w:val="51"/>
                  <w:rFonts w:ascii="Cambria Math" w:hAnsi="Cambria Math" w:cs="Times New Roman"/>
                  <w:i/>
                </w:rPr>
              </m:ctrlPr>
            </m:e>
            <m:sub>
              <m:r>
                <m:rPr/>
                <w:rPr>
                  <w:rStyle w:val="51"/>
                  <w:rFonts w:ascii="Cambria Math" w:hAnsi="Cambria Math" w:cs="Times New Roman"/>
                </w:rPr>
                <m:t>t</m:t>
              </m:r>
              <m:ctrlPr>
                <w:rPr>
                  <w:rStyle w:val="51"/>
                  <w:rFonts w:ascii="Cambria Math" w:hAnsi="Cambria Math" w:cs="Times New Roman"/>
                  <w:i/>
                </w:rPr>
              </m:ctrlPr>
            </m:sub>
          </m:sSub>
          <m:r>
            <m:rPr/>
            <w:rPr>
              <w:rStyle w:val="51"/>
              <w:rFonts w:ascii="Cambria Math" w:hAnsi="Cambria Math" w:cs="Times New Roman"/>
            </w:rPr>
            <m:t>)+</m:t>
          </m:r>
          <m:sSub>
            <m:sSubPr>
              <m:ctrlPr>
                <w:rPr>
                  <w:rStyle w:val="51"/>
                  <w:rFonts w:ascii="Cambria Math" w:hAnsi="Cambria Math" w:cs="Times New Roman"/>
                  <w:i/>
                </w:rPr>
              </m:ctrlPr>
            </m:sSubPr>
            <m:e>
              <m:r>
                <m:rPr/>
                <w:rPr>
                  <w:rStyle w:val="51"/>
                  <w:rFonts w:ascii="Cambria Math" w:hAnsi="Cambria Math" w:cs="Times New Roman"/>
                </w:rPr>
                <m:t>β</m:t>
              </m:r>
              <m:ctrlPr>
                <w:rPr>
                  <w:rStyle w:val="51"/>
                  <w:rFonts w:ascii="Cambria Math" w:hAnsi="Cambria Math" w:cs="Times New Roman"/>
                  <w:i/>
                </w:rPr>
              </m:ctrlPr>
            </m:e>
            <m:sub>
              <m:r>
                <m:rPr/>
                <w:rPr>
                  <w:rStyle w:val="51"/>
                  <w:rFonts w:ascii="Cambria Math" w:hAnsi="Cambria Math" w:cs="Times New Roman"/>
                </w:rPr>
                <m:t>2</m:t>
              </m:r>
              <m:ctrlPr>
                <w:rPr>
                  <w:rStyle w:val="51"/>
                  <w:rFonts w:ascii="Cambria Math" w:hAnsi="Cambria Math" w:cs="Times New Roman"/>
                  <w:i/>
                </w:rPr>
              </m:ctrlPr>
            </m:sub>
          </m:sSub>
          <m:r>
            <m:rPr/>
            <w:rPr>
              <w:rStyle w:val="51"/>
              <w:rFonts w:ascii="Cambria Math" w:hAnsi="Cambria Math" w:cs="Times New Roman"/>
            </w:rPr>
            <m:t>ln(IN</m:t>
          </m:r>
          <m:sSub>
            <m:sSubPr>
              <m:ctrlPr>
                <w:rPr>
                  <w:rStyle w:val="51"/>
                  <w:rFonts w:ascii="Cambria Math" w:hAnsi="Cambria Math" w:cs="Times New Roman"/>
                  <w:i/>
                </w:rPr>
              </m:ctrlPr>
            </m:sSubPr>
            <m:e>
              <m:r>
                <m:rPr/>
                <w:rPr>
                  <w:rStyle w:val="51"/>
                  <w:rFonts w:ascii="Cambria Math" w:hAnsi="Cambria Math" w:cs="Times New Roman"/>
                </w:rPr>
                <m:t>C</m:t>
              </m:r>
              <m:ctrlPr>
                <w:rPr>
                  <w:rStyle w:val="51"/>
                  <w:rFonts w:ascii="Cambria Math" w:hAnsi="Cambria Math" w:cs="Times New Roman"/>
                  <w:i/>
                </w:rPr>
              </m:ctrlPr>
            </m:e>
            <m:sub>
              <m:r>
                <m:rPr/>
                <w:rPr>
                  <w:rStyle w:val="51"/>
                  <w:rFonts w:ascii="Cambria Math" w:hAnsi="Cambria Math" w:cs="Times New Roman"/>
                </w:rPr>
                <m:t>t</m:t>
              </m:r>
              <m:ctrlPr>
                <w:rPr>
                  <w:rStyle w:val="51"/>
                  <w:rFonts w:ascii="Cambria Math" w:hAnsi="Cambria Math" w:cs="Times New Roman"/>
                  <w:i/>
                </w:rPr>
              </m:ctrlPr>
            </m:sub>
          </m:sSub>
          <m:r>
            <m:rPr/>
            <w:rPr>
              <w:rStyle w:val="51"/>
              <w:rFonts w:ascii="Cambria Math" w:hAnsi="Cambria Math" w:cs="Times New Roman"/>
            </w:rPr>
            <m:t>)+</m:t>
          </m:r>
          <m:sSub>
            <m:sSubPr>
              <m:ctrlPr>
                <w:rPr>
                  <w:rStyle w:val="51"/>
                  <w:rFonts w:ascii="Cambria Math" w:hAnsi="Cambria Math" w:cs="Times New Roman"/>
                  <w:i/>
                </w:rPr>
              </m:ctrlPr>
            </m:sSubPr>
            <m:e>
              <m:r>
                <m:rPr/>
                <w:rPr>
                  <w:rStyle w:val="51"/>
                  <w:rFonts w:ascii="Cambria Math" w:hAnsi="Cambria Math" w:cs="Times New Roman"/>
                </w:rPr>
                <m:t>β</m:t>
              </m:r>
              <m:ctrlPr>
                <w:rPr>
                  <w:rStyle w:val="51"/>
                  <w:rFonts w:ascii="Cambria Math" w:hAnsi="Cambria Math" w:cs="Times New Roman"/>
                  <w:i/>
                </w:rPr>
              </m:ctrlPr>
            </m:e>
            <m:sub>
              <m:r>
                <m:rPr/>
                <w:rPr>
                  <w:rStyle w:val="51"/>
                  <w:rFonts w:ascii="Cambria Math" w:hAnsi="Cambria Math" w:cs="Times New Roman"/>
                </w:rPr>
                <m:t>3</m:t>
              </m:r>
              <m:ctrlPr>
                <w:rPr>
                  <w:rStyle w:val="51"/>
                  <w:rFonts w:ascii="Cambria Math" w:hAnsi="Cambria Math" w:cs="Times New Roman"/>
                  <w:i/>
                </w:rPr>
              </m:ctrlPr>
            </m:sub>
          </m:sSub>
          <m:r>
            <m:rPr/>
            <w:rPr>
              <w:rStyle w:val="51"/>
              <w:rFonts w:ascii="Cambria Math" w:hAnsi="Cambria Math" w:cs="Times New Roman"/>
            </w:rPr>
            <m:t>U</m:t>
          </m:r>
          <m:sSub>
            <m:sSubPr>
              <m:ctrlPr>
                <w:rPr>
                  <w:rStyle w:val="51"/>
                  <w:rFonts w:ascii="Cambria Math" w:hAnsi="Cambria Math" w:cs="Times New Roman"/>
                  <w:i/>
                </w:rPr>
              </m:ctrlPr>
            </m:sSubPr>
            <m:e>
              <m:r>
                <m:rPr/>
                <w:rPr>
                  <w:rStyle w:val="51"/>
                  <w:rFonts w:ascii="Cambria Math" w:hAnsi="Cambria Math" w:cs="Times New Roman"/>
                </w:rPr>
                <m:t>R</m:t>
              </m:r>
              <m:ctrlPr>
                <w:rPr>
                  <w:rStyle w:val="51"/>
                  <w:rFonts w:ascii="Cambria Math" w:hAnsi="Cambria Math" w:cs="Times New Roman"/>
                  <w:i/>
                </w:rPr>
              </m:ctrlPr>
            </m:e>
            <m:sub>
              <m:r>
                <m:rPr/>
                <w:rPr>
                  <w:rStyle w:val="51"/>
                  <w:rFonts w:ascii="Cambria Math" w:hAnsi="Cambria Math" w:cs="Times New Roman"/>
                </w:rPr>
                <m:t>t</m:t>
              </m:r>
              <m:ctrlPr>
                <w:rPr>
                  <w:rStyle w:val="51"/>
                  <w:rFonts w:ascii="Cambria Math" w:hAnsi="Cambria Math" w:cs="Times New Roman"/>
                  <w:i/>
                </w:rPr>
              </m:ctrlPr>
            </m:sub>
          </m:sSub>
          <m:r>
            <m:rPr/>
            <w:rPr>
              <w:rStyle w:val="51"/>
              <w:rFonts w:ascii="Cambria Math" w:hAnsi="Cambria Math" w:cs="Times New Roman"/>
            </w:rPr>
            <m:t>+</m:t>
          </m:r>
          <m:sSub>
            <m:sSubPr>
              <m:ctrlPr>
                <w:rPr>
                  <w:rStyle w:val="51"/>
                  <w:rFonts w:ascii="Cambria Math" w:hAnsi="Cambria Math" w:cs="Times New Roman"/>
                  <w:i/>
                </w:rPr>
              </m:ctrlPr>
            </m:sSubPr>
            <m:e>
              <m:r>
                <m:rPr/>
                <w:rPr>
                  <w:rStyle w:val="51"/>
                  <w:rFonts w:ascii="Cambria Math" w:hAnsi="Cambria Math" w:cs="Times New Roman"/>
                </w:rPr>
                <m:t>ϵ</m:t>
              </m:r>
              <m:ctrlPr>
                <w:rPr>
                  <w:rStyle w:val="51"/>
                  <w:rFonts w:ascii="Cambria Math" w:hAnsi="Cambria Math" w:cs="Times New Roman"/>
                  <w:i/>
                </w:rPr>
              </m:ctrlPr>
            </m:e>
            <m:sub>
              <m:r>
                <m:rPr/>
                <w:rPr>
                  <w:rStyle w:val="51"/>
                  <w:rFonts w:ascii="Cambria Math" w:hAnsi="Cambria Math" w:cs="Times New Roman"/>
                </w:rPr>
                <m:t>t</m:t>
              </m:r>
              <m:ctrlPr>
                <w:rPr>
                  <w:rStyle w:val="51"/>
                  <w:rFonts w:ascii="Cambria Math" w:hAnsi="Cambria Math" w:cs="Times New Roman"/>
                  <w:i/>
                </w:rPr>
              </m:ctrlPr>
            </m:sub>
          </m:sSub>
        </m:oMath>
      </m:oMathPara>
    </w:p>
    <w:p w14:paraId="7B3A2671">
      <w:pPr>
        <w:rPr>
          <w:rFonts w:ascii="Times New Roman" w:hAnsi="Times New Roman" w:cs="Times New Roman"/>
        </w:rPr>
      </w:pPr>
      <w:r>
        <w:rPr>
          <w:rStyle w:val="54"/>
          <w:rFonts w:ascii="Times New Roman" w:hAnsi="Times New Roman" w:cs="Times New Roman"/>
        </w:rPr>
        <w:t xml:space="preserve"> ​</w:t>
      </w:r>
      <w:r>
        <w:rPr>
          <w:rFonts w:ascii="Times New Roman" w:hAnsi="Times New Roman" w:cs="Times New Roman"/>
        </w:rPr>
        <w:t xml:space="preserve"> Where:</w:t>
      </w:r>
    </w:p>
    <w:p w14:paraId="2EE6FB0E">
      <w:pPr>
        <w:pStyle w:val="18"/>
        <w:numPr>
          <w:ilvl w:val="0"/>
          <w:numId w:val="6"/>
        </w:numPr>
      </w:pPr>
      <m:oMath>
        <m:r>
          <m:rPr/>
          <w:rPr>
            <w:rStyle w:val="51"/>
            <w:rFonts w:ascii="Cambria Math" w:hAnsi="Cambria Math" w:eastAsiaTheme="majorEastAsia"/>
          </w:rPr>
          <m:t>G</m:t>
        </m:r>
        <m:sSub>
          <m:sSubPr>
            <m:ctrlPr>
              <w:rPr>
                <w:rStyle w:val="51"/>
                <w:rFonts w:ascii="Cambria Math" w:hAnsi="Cambria Math" w:eastAsiaTheme="majorEastAsia"/>
                <w:i/>
              </w:rPr>
            </m:ctrlPr>
          </m:sSubPr>
          <m:e>
            <m:r>
              <m:rPr/>
              <w:rPr>
                <w:rStyle w:val="51"/>
                <w:rFonts w:ascii="Cambria Math" w:hAnsi="Cambria Math" w:eastAsiaTheme="majorEastAsia"/>
              </w:rPr>
              <m:t>E</m:t>
            </m:r>
            <m:ctrlPr>
              <w:rPr>
                <w:rStyle w:val="51"/>
                <w:rFonts w:ascii="Cambria Math" w:hAnsi="Cambria Math" w:eastAsiaTheme="majorEastAsia"/>
                <w:i/>
              </w:rPr>
            </m:ctrlPr>
          </m:e>
          <m:sub>
            <m:r>
              <m:rPr/>
              <w:rPr>
                <w:rStyle w:val="51"/>
                <w:rFonts w:ascii="Cambria Math" w:hAnsi="Cambria Math" w:eastAsiaTheme="majorEastAsia"/>
              </w:rPr>
              <m:t>t</m:t>
            </m:r>
            <m:ctrlPr>
              <w:rPr>
                <w:rStyle w:val="51"/>
                <w:rFonts w:ascii="Cambria Math" w:hAnsi="Cambria Math" w:eastAsiaTheme="majorEastAsia"/>
                <w:i/>
              </w:rPr>
            </m:ctrlPr>
          </m:sub>
        </m:sSub>
      </m:oMath>
      <w:r>
        <w:rPr>
          <w:rStyle w:val="54"/>
        </w:rPr>
        <w:t xml:space="preserve"> ​</w:t>
      </w:r>
      <w:r>
        <w:t xml:space="preserve"> = grocery expenditure</w:t>
      </w:r>
    </w:p>
    <w:p w14:paraId="49984466">
      <w:pPr>
        <w:pStyle w:val="18"/>
        <w:numPr>
          <w:ilvl w:val="0"/>
          <w:numId w:val="6"/>
        </w:numPr>
      </w:pPr>
      <m:oMath>
        <m:r>
          <m:rPr/>
          <w:rPr>
            <w:rStyle w:val="51"/>
            <w:rFonts w:ascii="Cambria Math" w:hAnsi="Cambria Math" w:eastAsiaTheme="majorEastAsia"/>
          </w:rPr>
          <m:t>CP</m:t>
        </m:r>
        <m:sSub>
          <m:sSubPr>
            <m:ctrlPr>
              <w:rPr>
                <w:rStyle w:val="51"/>
                <w:rFonts w:ascii="Cambria Math" w:hAnsi="Cambria Math" w:eastAsiaTheme="majorEastAsia"/>
                <w:i/>
              </w:rPr>
            </m:ctrlPr>
          </m:sSubPr>
          <m:e>
            <m:r>
              <m:rPr/>
              <w:rPr>
                <w:rStyle w:val="51"/>
                <w:rFonts w:ascii="Cambria Math" w:hAnsi="Cambria Math" w:eastAsiaTheme="majorEastAsia"/>
              </w:rPr>
              <m:t>I</m:t>
            </m:r>
            <m:ctrlPr>
              <w:rPr>
                <w:rStyle w:val="51"/>
                <w:rFonts w:ascii="Cambria Math" w:hAnsi="Cambria Math" w:eastAsiaTheme="majorEastAsia"/>
                <w:i/>
              </w:rPr>
            </m:ctrlPr>
          </m:e>
          <m:sub>
            <m:r>
              <m:rPr/>
              <w:rPr>
                <w:rStyle w:val="51"/>
                <w:rFonts w:ascii="Cambria Math" w:hAnsi="Cambria Math" w:eastAsiaTheme="majorEastAsia"/>
              </w:rPr>
              <m:t>t</m:t>
            </m:r>
            <m:ctrlPr>
              <w:rPr>
                <w:rStyle w:val="51"/>
                <w:rFonts w:ascii="Cambria Math" w:hAnsi="Cambria Math" w:eastAsiaTheme="majorEastAsia"/>
                <w:i/>
              </w:rPr>
            </m:ctrlPr>
          </m:sub>
        </m:sSub>
      </m:oMath>
      <w:r>
        <w:rPr>
          <w:rStyle w:val="54"/>
        </w:rPr>
        <w:t xml:space="preserve"> ​</w:t>
      </w:r>
      <w:r>
        <w:t xml:space="preserve"> = Consumer Price Index</w:t>
      </w:r>
    </w:p>
    <w:p w14:paraId="0D366C93">
      <w:pPr>
        <w:pStyle w:val="18"/>
        <w:numPr>
          <w:ilvl w:val="0"/>
          <w:numId w:val="6"/>
        </w:numPr>
      </w:pPr>
      <m:oMath>
        <m:r>
          <m:rPr/>
          <w:rPr>
            <w:rStyle w:val="51"/>
            <w:rFonts w:ascii="Cambria Math" w:hAnsi="Cambria Math" w:eastAsiaTheme="majorEastAsia"/>
          </w:rPr>
          <m:t>IN</m:t>
        </m:r>
        <m:sSub>
          <m:sSubPr>
            <m:ctrlPr>
              <w:rPr>
                <w:rStyle w:val="51"/>
                <w:rFonts w:ascii="Cambria Math" w:hAnsi="Cambria Math" w:eastAsiaTheme="majorEastAsia"/>
                <w:i/>
              </w:rPr>
            </m:ctrlPr>
          </m:sSubPr>
          <m:e>
            <m:r>
              <m:rPr/>
              <w:rPr>
                <w:rStyle w:val="51"/>
                <w:rFonts w:ascii="Cambria Math" w:hAnsi="Cambria Math" w:eastAsiaTheme="majorEastAsia"/>
              </w:rPr>
              <m:t>C</m:t>
            </m:r>
            <m:ctrlPr>
              <w:rPr>
                <w:rStyle w:val="51"/>
                <w:rFonts w:ascii="Cambria Math" w:hAnsi="Cambria Math" w:eastAsiaTheme="majorEastAsia"/>
                <w:i/>
              </w:rPr>
            </m:ctrlPr>
          </m:e>
          <m:sub>
            <m:r>
              <m:rPr/>
              <w:rPr>
                <w:rStyle w:val="51"/>
                <w:rFonts w:ascii="Cambria Math" w:hAnsi="Cambria Math" w:eastAsiaTheme="majorEastAsia"/>
              </w:rPr>
              <m:t>t</m:t>
            </m:r>
            <m:ctrlPr>
              <w:rPr>
                <w:rStyle w:val="51"/>
                <w:rFonts w:ascii="Cambria Math" w:hAnsi="Cambria Math" w:eastAsiaTheme="majorEastAsia"/>
                <w:i/>
              </w:rPr>
            </m:ctrlPr>
          </m:sub>
        </m:sSub>
      </m:oMath>
      <w:r>
        <w:rPr>
          <w:rStyle w:val="54"/>
        </w:rPr>
        <w:t xml:space="preserve"> ​</w:t>
      </w:r>
      <w:r>
        <w:t xml:space="preserve"> = real disposable income</w:t>
      </w:r>
    </w:p>
    <w:p w14:paraId="0F5C4C0E">
      <w:pPr>
        <w:pStyle w:val="18"/>
        <w:numPr>
          <w:ilvl w:val="0"/>
          <w:numId w:val="6"/>
        </w:numPr>
      </w:pPr>
      <m:oMath>
        <m:r>
          <m:rPr/>
          <w:rPr>
            <w:rStyle w:val="51"/>
            <w:rFonts w:ascii="Cambria Math" w:hAnsi="Cambria Math" w:eastAsiaTheme="majorEastAsia"/>
          </w:rPr>
          <m:t>U</m:t>
        </m:r>
        <m:sSub>
          <m:sSubPr>
            <m:ctrlPr>
              <w:rPr>
                <w:rStyle w:val="51"/>
                <w:rFonts w:ascii="Cambria Math" w:hAnsi="Cambria Math" w:eastAsiaTheme="majorEastAsia"/>
                <w:i/>
              </w:rPr>
            </m:ctrlPr>
          </m:sSubPr>
          <m:e>
            <m:r>
              <m:rPr/>
              <w:rPr>
                <w:rStyle w:val="51"/>
                <w:rFonts w:ascii="Cambria Math" w:hAnsi="Cambria Math" w:eastAsiaTheme="majorEastAsia"/>
              </w:rPr>
              <m:t>R</m:t>
            </m:r>
            <m:ctrlPr>
              <w:rPr>
                <w:rStyle w:val="51"/>
                <w:rFonts w:ascii="Cambria Math" w:hAnsi="Cambria Math" w:eastAsiaTheme="majorEastAsia"/>
                <w:i/>
              </w:rPr>
            </m:ctrlPr>
          </m:e>
          <m:sub>
            <m:r>
              <m:rPr/>
              <w:rPr>
                <w:rStyle w:val="51"/>
                <w:rFonts w:ascii="Cambria Math" w:hAnsi="Cambria Math" w:eastAsiaTheme="majorEastAsia"/>
              </w:rPr>
              <m:t>t</m:t>
            </m:r>
            <m:ctrlPr>
              <w:rPr>
                <w:rStyle w:val="51"/>
                <w:rFonts w:ascii="Cambria Math" w:hAnsi="Cambria Math" w:eastAsiaTheme="majorEastAsia"/>
                <w:i/>
              </w:rPr>
            </m:ctrlPr>
          </m:sub>
        </m:sSub>
      </m:oMath>
      <w:r>
        <w:rPr>
          <w:rStyle w:val="54"/>
        </w:rPr>
        <w:t xml:space="preserve"> ​</w:t>
      </w:r>
      <w:r>
        <w:t xml:space="preserve"> = unemployment rate</w:t>
      </w:r>
    </w:p>
    <w:p w14:paraId="19C0DE8D">
      <w:pPr>
        <w:pStyle w:val="18"/>
        <w:spacing w:line="360" w:lineRule="auto"/>
        <w:jc w:val="both"/>
      </w:pPr>
      <w:r>
        <w:t>Model selection is guided by economic theory and previous empirical literature. Logs allow coefficients to be interpreted as elasticities, improving interpretability.</w:t>
      </w:r>
    </w:p>
    <w:p w14:paraId="28BCA31A">
      <w:pPr>
        <w:pStyle w:val="3"/>
      </w:pPr>
      <w:bookmarkStart w:id="16" w:name="_Toc218351979"/>
      <w:r>
        <w:t>5.4 Diagnostic Tests</w:t>
      </w:r>
      <w:bookmarkEnd w:id="16"/>
    </w:p>
    <w:p w14:paraId="276137FA">
      <w:pPr>
        <w:pStyle w:val="18"/>
        <w:spacing w:line="360" w:lineRule="auto"/>
      </w:pPr>
      <w:r>
        <w:t>To ensure the validity of the regression results, the following diagnostic tests are performed:</w:t>
      </w:r>
    </w:p>
    <w:p w14:paraId="4F4F3542">
      <w:pPr>
        <w:pStyle w:val="18"/>
        <w:numPr>
          <w:ilvl w:val="0"/>
          <w:numId w:val="7"/>
        </w:numPr>
        <w:spacing w:line="360" w:lineRule="auto"/>
      </w:pPr>
      <w:r>
        <w:rPr>
          <w:rStyle w:val="20"/>
          <w:rFonts w:eastAsiaTheme="majorEastAsia"/>
          <w:b w:val="0"/>
          <w:bCs w:val="0"/>
        </w:rPr>
        <w:t>ADF test</w:t>
      </w:r>
      <w:r>
        <w:t xml:space="preserve"> for stationarity of each series.</w:t>
      </w:r>
    </w:p>
    <w:p w14:paraId="636D4C35">
      <w:pPr>
        <w:pStyle w:val="18"/>
        <w:numPr>
          <w:ilvl w:val="0"/>
          <w:numId w:val="7"/>
        </w:numPr>
        <w:spacing w:line="360" w:lineRule="auto"/>
      </w:pPr>
      <w:r>
        <w:rPr>
          <w:rStyle w:val="20"/>
          <w:rFonts w:eastAsiaTheme="majorEastAsia"/>
          <w:b w:val="0"/>
          <w:bCs w:val="0"/>
        </w:rPr>
        <w:t>Variance Inflation Factor (VIF)</w:t>
      </w:r>
      <w:r>
        <w:t xml:space="preserve"> to test multicollinearity among regressors.</w:t>
      </w:r>
    </w:p>
    <w:p w14:paraId="22777EE7">
      <w:pPr>
        <w:pStyle w:val="18"/>
        <w:numPr>
          <w:ilvl w:val="0"/>
          <w:numId w:val="7"/>
        </w:numPr>
        <w:spacing w:line="360" w:lineRule="auto"/>
      </w:pPr>
      <w:r>
        <w:rPr>
          <w:rStyle w:val="20"/>
          <w:rFonts w:eastAsiaTheme="majorEastAsia"/>
          <w:b w:val="0"/>
          <w:bCs w:val="0"/>
        </w:rPr>
        <w:t>Durbin–Watson statistic</w:t>
      </w:r>
      <w:r>
        <w:t xml:space="preserve"> to detect autocorrelation in residuals.</w:t>
      </w:r>
    </w:p>
    <w:p w14:paraId="65B28196">
      <w:pPr>
        <w:pStyle w:val="18"/>
        <w:numPr>
          <w:ilvl w:val="0"/>
          <w:numId w:val="7"/>
        </w:numPr>
        <w:spacing w:line="360" w:lineRule="auto"/>
      </w:pPr>
      <w:r>
        <w:rPr>
          <w:rStyle w:val="20"/>
          <w:rFonts w:eastAsiaTheme="majorEastAsia"/>
          <w:b w:val="0"/>
          <w:bCs w:val="0"/>
        </w:rPr>
        <w:t>Breusch–Pagan or White test</w:t>
      </w:r>
      <w:r>
        <w:t xml:space="preserve"> for heteroskedasticity.</w:t>
      </w:r>
    </w:p>
    <w:p w14:paraId="03863C49">
      <w:pPr>
        <w:pStyle w:val="18"/>
        <w:numPr>
          <w:ilvl w:val="0"/>
          <w:numId w:val="7"/>
        </w:numPr>
        <w:spacing w:line="360" w:lineRule="auto"/>
      </w:pPr>
      <w:r>
        <w:rPr>
          <w:rStyle w:val="20"/>
          <w:rFonts w:eastAsiaTheme="majorEastAsia"/>
          <w:b w:val="0"/>
          <w:bCs w:val="0"/>
        </w:rPr>
        <w:t>Jarque–Bera test</w:t>
      </w:r>
      <w:r>
        <w:t xml:space="preserve"> to assess residual normality.</w:t>
      </w:r>
    </w:p>
    <w:p w14:paraId="48E603ED">
      <w:pPr>
        <w:pStyle w:val="18"/>
        <w:numPr>
          <w:ilvl w:val="0"/>
          <w:numId w:val="7"/>
        </w:numPr>
        <w:spacing w:line="360" w:lineRule="auto"/>
      </w:pPr>
      <w:r>
        <w:rPr>
          <w:rStyle w:val="20"/>
          <w:rFonts w:eastAsiaTheme="majorEastAsia"/>
          <w:b w:val="0"/>
          <w:bCs w:val="0"/>
        </w:rPr>
        <w:t>ACF/PACF plots</w:t>
      </w:r>
      <w:r>
        <w:t xml:space="preserve"> to identify serial correlation patterns.</w:t>
      </w:r>
    </w:p>
    <w:p w14:paraId="230F55C2">
      <w:pPr>
        <w:pStyle w:val="18"/>
        <w:spacing w:line="360" w:lineRule="auto"/>
      </w:pPr>
      <w:r>
        <w:t>Where necessary, differencing or inclusion of lags is applied to address violations.</w:t>
      </w:r>
    </w:p>
    <w:p w14:paraId="7DC52536">
      <w:pPr>
        <w:pStyle w:val="3"/>
      </w:pPr>
      <w:bookmarkStart w:id="17" w:name="_Toc218351980"/>
      <w:r>
        <w:t>5.5 Sensitivity and Robustness Checks</w:t>
      </w:r>
      <w:bookmarkEnd w:id="17"/>
    </w:p>
    <w:p w14:paraId="00B363EC">
      <w:pPr>
        <w:pStyle w:val="18"/>
        <w:spacing w:line="360" w:lineRule="auto"/>
        <w:jc w:val="both"/>
      </w:pPr>
      <w:r>
        <w:t>To confirm the stability of results, robustness analyses include:</w:t>
      </w:r>
    </w:p>
    <w:p w14:paraId="5529DB6E">
      <w:pPr>
        <w:pStyle w:val="18"/>
        <w:numPr>
          <w:ilvl w:val="0"/>
          <w:numId w:val="8"/>
        </w:numPr>
        <w:spacing w:line="360" w:lineRule="auto"/>
        <w:jc w:val="both"/>
      </w:pPr>
      <w:r>
        <w:t>alternative lag structures for CPI and income,</w:t>
      </w:r>
    </w:p>
    <w:p w14:paraId="74F66883">
      <w:pPr>
        <w:pStyle w:val="18"/>
        <w:numPr>
          <w:ilvl w:val="0"/>
          <w:numId w:val="8"/>
        </w:numPr>
        <w:spacing w:line="360" w:lineRule="auto"/>
        <w:jc w:val="both"/>
      </w:pPr>
      <w:r>
        <w:t>sub-sample estimation (e.g., 2000–2008, 2009–2019, 2020–2023),</w:t>
      </w:r>
    </w:p>
    <w:p w14:paraId="5FE5EF67">
      <w:pPr>
        <w:pStyle w:val="18"/>
        <w:numPr>
          <w:ilvl w:val="0"/>
          <w:numId w:val="8"/>
        </w:numPr>
        <w:spacing w:line="360" w:lineRule="auto"/>
        <w:jc w:val="both"/>
      </w:pPr>
      <w:r>
        <w:rPr>
          <w:rStyle w:val="20"/>
          <w:rFonts w:eastAsiaTheme="majorEastAsia"/>
          <w:b w:val="0"/>
          <w:bCs w:val="0"/>
        </w:rPr>
        <w:t>structural break tests</w:t>
      </w:r>
      <w:r>
        <w:t xml:space="preserve"> (Chow test, Bai–Perron) capturing events such as the 2008 crisis, Brexit, and COVID-19.</w:t>
      </w:r>
    </w:p>
    <w:p w14:paraId="71429F81">
      <w:pPr>
        <w:pStyle w:val="18"/>
        <w:spacing w:line="360" w:lineRule="auto"/>
        <w:jc w:val="both"/>
      </w:pPr>
      <w:r>
        <w:t>These checks ensure that findings are not driven by specific time periods or model specifications.</w:t>
      </w:r>
    </w:p>
    <w:p w14:paraId="43BE8618">
      <w:pPr>
        <w:pStyle w:val="18"/>
        <w:spacing w:line="360" w:lineRule="auto"/>
        <w:jc w:val="both"/>
      </w:pPr>
    </w:p>
    <w:p w14:paraId="06A8C11F">
      <w:pPr>
        <w:pStyle w:val="2"/>
      </w:pPr>
      <w:bookmarkStart w:id="18" w:name="_Toc218351981"/>
      <w:r>
        <w:t>6. Results and Analysis</w:t>
      </w:r>
      <w:bookmarkEnd w:id="18"/>
    </w:p>
    <w:p w14:paraId="60798913">
      <w:pPr>
        <w:pStyle w:val="3"/>
      </w:pPr>
      <w:bookmarkStart w:id="19" w:name="_Toc218351982"/>
      <w:r>
        <w:t>6.1 Descriptive Statistics and Trends</w:t>
      </w:r>
      <w:bookmarkEnd w:id="19"/>
    </w:p>
    <w:p w14:paraId="2DA29534">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Table 1: Shows the Descriptive Statistics of the Variables</w:t>
      </w:r>
    </w:p>
    <w:tbl>
      <w:tblPr>
        <w:tblStyle w:val="12"/>
        <w:tblW w:w="8640" w:type="dxa"/>
        <w:tblInd w:w="0" w:type="dxa"/>
        <w:tblLayout w:type="autofit"/>
        <w:tblCellMar>
          <w:top w:w="0" w:type="dxa"/>
          <w:left w:w="108" w:type="dxa"/>
          <w:bottom w:w="0" w:type="dxa"/>
          <w:right w:w="108" w:type="dxa"/>
        </w:tblCellMar>
      </w:tblPr>
      <w:tblGrid>
        <w:gridCol w:w="961"/>
        <w:gridCol w:w="960"/>
        <w:gridCol w:w="960"/>
        <w:gridCol w:w="960"/>
        <w:gridCol w:w="960"/>
        <w:gridCol w:w="960"/>
        <w:gridCol w:w="960"/>
        <w:gridCol w:w="960"/>
        <w:gridCol w:w="960"/>
      </w:tblGrid>
      <w:tr w14:paraId="7ACA7193">
        <w:tblPrEx>
          <w:tblCellMar>
            <w:top w:w="0" w:type="dxa"/>
            <w:left w:w="108" w:type="dxa"/>
            <w:bottom w:w="0" w:type="dxa"/>
            <w:right w:w="108" w:type="dxa"/>
          </w:tblCellMar>
        </w:tblPrEx>
        <w:trPr>
          <w:trHeight w:val="300" w:hRule="atLeast"/>
        </w:trPr>
        <w:tc>
          <w:tcPr>
            <w:tcW w:w="960" w:type="dxa"/>
            <w:tcBorders>
              <w:top w:val="single" w:color="auto" w:sz="4" w:space="0"/>
              <w:left w:val="nil"/>
              <w:bottom w:val="single" w:color="auto" w:sz="4" w:space="0"/>
              <w:right w:val="nil"/>
            </w:tcBorders>
            <w:noWrap/>
            <w:vAlign w:val="center"/>
          </w:tcPr>
          <w:p w14:paraId="4182E9FD">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Variable</w:t>
            </w:r>
          </w:p>
        </w:tc>
        <w:tc>
          <w:tcPr>
            <w:tcW w:w="960" w:type="dxa"/>
            <w:tcBorders>
              <w:top w:val="single" w:color="auto" w:sz="4" w:space="0"/>
              <w:left w:val="nil"/>
              <w:bottom w:val="single" w:color="auto" w:sz="4" w:space="0"/>
              <w:right w:val="nil"/>
            </w:tcBorders>
            <w:noWrap/>
            <w:vAlign w:val="center"/>
          </w:tcPr>
          <w:p w14:paraId="77771B67">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n</w:t>
            </w:r>
          </w:p>
        </w:tc>
        <w:tc>
          <w:tcPr>
            <w:tcW w:w="960" w:type="dxa"/>
            <w:tcBorders>
              <w:top w:val="single" w:color="auto" w:sz="4" w:space="0"/>
              <w:left w:val="nil"/>
              <w:bottom w:val="single" w:color="auto" w:sz="4" w:space="0"/>
              <w:right w:val="nil"/>
            </w:tcBorders>
            <w:noWrap/>
            <w:vAlign w:val="center"/>
          </w:tcPr>
          <w:p w14:paraId="2463F9AB">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Mean</w:t>
            </w:r>
          </w:p>
        </w:tc>
        <w:tc>
          <w:tcPr>
            <w:tcW w:w="960" w:type="dxa"/>
            <w:tcBorders>
              <w:top w:val="single" w:color="auto" w:sz="4" w:space="0"/>
              <w:left w:val="nil"/>
              <w:bottom w:val="single" w:color="auto" w:sz="4" w:space="0"/>
              <w:right w:val="nil"/>
            </w:tcBorders>
            <w:noWrap/>
            <w:vAlign w:val="center"/>
          </w:tcPr>
          <w:p w14:paraId="19290350">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SD</w:t>
            </w:r>
          </w:p>
        </w:tc>
        <w:tc>
          <w:tcPr>
            <w:tcW w:w="960" w:type="dxa"/>
            <w:tcBorders>
              <w:top w:val="single" w:color="auto" w:sz="4" w:space="0"/>
              <w:left w:val="nil"/>
              <w:bottom w:val="single" w:color="auto" w:sz="4" w:space="0"/>
              <w:right w:val="nil"/>
            </w:tcBorders>
            <w:noWrap/>
            <w:vAlign w:val="center"/>
          </w:tcPr>
          <w:p w14:paraId="33C8CE23">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Min</w:t>
            </w:r>
          </w:p>
        </w:tc>
        <w:tc>
          <w:tcPr>
            <w:tcW w:w="960" w:type="dxa"/>
            <w:tcBorders>
              <w:top w:val="single" w:color="auto" w:sz="4" w:space="0"/>
              <w:left w:val="nil"/>
              <w:bottom w:val="single" w:color="auto" w:sz="4" w:space="0"/>
              <w:right w:val="nil"/>
            </w:tcBorders>
            <w:noWrap/>
            <w:vAlign w:val="center"/>
          </w:tcPr>
          <w:p w14:paraId="466D1FA2">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25%</w:t>
            </w:r>
          </w:p>
        </w:tc>
        <w:tc>
          <w:tcPr>
            <w:tcW w:w="960" w:type="dxa"/>
            <w:tcBorders>
              <w:top w:val="single" w:color="auto" w:sz="4" w:space="0"/>
              <w:left w:val="nil"/>
              <w:bottom w:val="single" w:color="auto" w:sz="4" w:space="0"/>
              <w:right w:val="nil"/>
            </w:tcBorders>
            <w:noWrap/>
            <w:vAlign w:val="center"/>
          </w:tcPr>
          <w:p w14:paraId="1EFB2EDA">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50%</w:t>
            </w:r>
          </w:p>
        </w:tc>
        <w:tc>
          <w:tcPr>
            <w:tcW w:w="960" w:type="dxa"/>
            <w:tcBorders>
              <w:top w:val="single" w:color="auto" w:sz="4" w:space="0"/>
              <w:left w:val="nil"/>
              <w:bottom w:val="single" w:color="auto" w:sz="4" w:space="0"/>
              <w:right w:val="nil"/>
            </w:tcBorders>
            <w:noWrap/>
            <w:vAlign w:val="center"/>
          </w:tcPr>
          <w:p w14:paraId="773AE4EC">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75%</w:t>
            </w:r>
          </w:p>
        </w:tc>
        <w:tc>
          <w:tcPr>
            <w:tcW w:w="960" w:type="dxa"/>
            <w:tcBorders>
              <w:top w:val="single" w:color="auto" w:sz="4" w:space="0"/>
              <w:left w:val="nil"/>
              <w:bottom w:val="single" w:color="auto" w:sz="4" w:space="0"/>
              <w:right w:val="nil"/>
            </w:tcBorders>
            <w:noWrap/>
            <w:vAlign w:val="center"/>
          </w:tcPr>
          <w:p w14:paraId="40EED902">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Max</w:t>
            </w:r>
          </w:p>
        </w:tc>
      </w:tr>
      <w:tr w14:paraId="576A17CB">
        <w:tblPrEx>
          <w:tblCellMar>
            <w:top w:w="0" w:type="dxa"/>
            <w:left w:w="108" w:type="dxa"/>
            <w:bottom w:w="0" w:type="dxa"/>
            <w:right w:w="108" w:type="dxa"/>
          </w:tblCellMar>
        </w:tblPrEx>
        <w:trPr>
          <w:trHeight w:val="300" w:hRule="atLeast"/>
        </w:trPr>
        <w:tc>
          <w:tcPr>
            <w:tcW w:w="960" w:type="dxa"/>
            <w:tcBorders>
              <w:top w:val="nil"/>
              <w:left w:val="nil"/>
              <w:bottom w:val="nil"/>
              <w:right w:val="nil"/>
            </w:tcBorders>
            <w:noWrap/>
            <w:vAlign w:val="center"/>
          </w:tcPr>
          <w:p w14:paraId="2D73CB7A">
            <w:pPr>
              <w:spacing w:after="0" w:line="240" w:lineRule="auto"/>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CPI</w:t>
            </w:r>
          </w:p>
        </w:tc>
        <w:tc>
          <w:tcPr>
            <w:tcW w:w="960" w:type="dxa"/>
            <w:tcBorders>
              <w:top w:val="nil"/>
              <w:left w:val="nil"/>
              <w:bottom w:val="nil"/>
              <w:right w:val="nil"/>
            </w:tcBorders>
            <w:noWrap/>
            <w:vAlign w:val="center"/>
          </w:tcPr>
          <w:p w14:paraId="5756794E">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91</w:t>
            </w:r>
          </w:p>
        </w:tc>
        <w:tc>
          <w:tcPr>
            <w:tcW w:w="960" w:type="dxa"/>
            <w:tcBorders>
              <w:top w:val="nil"/>
              <w:left w:val="nil"/>
              <w:bottom w:val="nil"/>
              <w:right w:val="nil"/>
            </w:tcBorders>
            <w:noWrap/>
            <w:vAlign w:val="center"/>
          </w:tcPr>
          <w:p w14:paraId="7C29D199">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2.54</w:t>
            </w:r>
          </w:p>
        </w:tc>
        <w:tc>
          <w:tcPr>
            <w:tcW w:w="960" w:type="dxa"/>
            <w:tcBorders>
              <w:top w:val="nil"/>
              <w:left w:val="nil"/>
              <w:bottom w:val="nil"/>
              <w:right w:val="nil"/>
            </w:tcBorders>
            <w:noWrap/>
            <w:vAlign w:val="center"/>
          </w:tcPr>
          <w:p w14:paraId="6BD8E6A1">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3.52</w:t>
            </w:r>
          </w:p>
        </w:tc>
        <w:tc>
          <w:tcPr>
            <w:tcW w:w="960" w:type="dxa"/>
            <w:tcBorders>
              <w:top w:val="nil"/>
              <w:left w:val="nil"/>
              <w:bottom w:val="nil"/>
              <w:right w:val="nil"/>
            </w:tcBorders>
            <w:noWrap/>
            <w:vAlign w:val="center"/>
          </w:tcPr>
          <w:p w14:paraId="7DF08067">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-2.9</w:t>
            </w:r>
          </w:p>
        </w:tc>
        <w:tc>
          <w:tcPr>
            <w:tcW w:w="960" w:type="dxa"/>
            <w:tcBorders>
              <w:top w:val="nil"/>
              <w:left w:val="nil"/>
              <w:bottom w:val="nil"/>
              <w:right w:val="nil"/>
            </w:tcBorders>
            <w:noWrap/>
            <w:vAlign w:val="center"/>
          </w:tcPr>
          <w:p w14:paraId="189B3917">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0.3</w:t>
            </w:r>
          </w:p>
        </w:tc>
        <w:tc>
          <w:tcPr>
            <w:tcW w:w="960" w:type="dxa"/>
            <w:tcBorders>
              <w:top w:val="nil"/>
              <w:left w:val="nil"/>
              <w:bottom w:val="nil"/>
              <w:right w:val="nil"/>
            </w:tcBorders>
            <w:noWrap/>
            <w:vAlign w:val="center"/>
          </w:tcPr>
          <w:p w14:paraId="6349B8DA">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2</w:t>
            </w:r>
          </w:p>
        </w:tc>
        <w:tc>
          <w:tcPr>
            <w:tcW w:w="960" w:type="dxa"/>
            <w:tcBorders>
              <w:top w:val="nil"/>
              <w:left w:val="nil"/>
              <w:bottom w:val="nil"/>
              <w:right w:val="nil"/>
            </w:tcBorders>
            <w:noWrap/>
            <w:vAlign w:val="center"/>
          </w:tcPr>
          <w:p w14:paraId="49332311">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4.05</w:t>
            </w:r>
          </w:p>
        </w:tc>
        <w:tc>
          <w:tcPr>
            <w:tcW w:w="960" w:type="dxa"/>
            <w:tcBorders>
              <w:top w:val="nil"/>
              <w:left w:val="nil"/>
              <w:bottom w:val="nil"/>
              <w:right w:val="nil"/>
            </w:tcBorders>
            <w:noWrap/>
            <w:vAlign w:val="center"/>
          </w:tcPr>
          <w:p w14:paraId="36440CAF">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16.5</w:t>
            </w:r>
          </w:p>
        </w:tc>
      </w:tr>
      <w:tr w14:paraId="31E512AC">
        <w:tblPrEx>
          <w:tblCellMar>
            <w:top w:w="0" w:type="dxa"/>
            <w:left w:w="108" w:type="dxa"/>
            <w:bottom w:w="0" w:type="dxa"/>
            <w:right w:w="108" w:type="dxa"/>
          </w:tblCellMar>
        </w:tblPrEx>
        <w:trPr>
          <w:trHeight w:val="300" w:hRule="atLeast"/>
        </w:trPr>
        <w:tc>
          <w:tcPr>
            <w:tcW w:w="960" w:type="dxa"/>
            <w:tcBorders>
              <w:top w:val="nil"/>
              <w:left w:val="nil"/>
              <w:bottom w:val="nil"/>
              <w:right w:val="nil"/>
            </w:tcBorders>
            <w:noWrap/>
            <w:vAlign w:val="center"/>
          </w:tcPr>
          <w:p w14:paraId="6F9D4897">
            <w:pPr>
              <w:spacing w:after="0" w:line="240" w:lineRule="auto"/>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UR</w:t>
            </w:r>
          </w:p>
        </w:tc>
        <w:tc>
          <w:tcPr>
            <w:tcW w:w="960" w:type="dxa"/>
            <w:tcBorders>
              <w:top w:val="nil"/>
              <w:left w:val="nil"/>
              <w:bottom w:val="nil"/>
              <w:right w:val="nil"/>
            </w:tcBorders>
            <w:noWrap/>
            <w:vAlign w:val="center"/>
          </w:tcPr>
          <w:p w14:paraId="3DAE00BE">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91</w:t>
            </w:r>
          </w:p>
        </w:tc>
        <w:tc>
          <w:tcPr>
            <w:tcW w:w="960" w:type="dxa"/>
            <w:tcBorders>
              <w:top w:val="nil"/>
              <w:left w:val="nil"/>
              <w:bottom w:val="nil"/>
              <w:right w:val="nil"/>
            </w:tcBorders>
            <w:noWrap/>
            <w:vAlign w:val="center"/>
          </w:tcPr>
          <w:p w14:paraId="5576CA90">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5.47</w:t>
            </w:r>
          </w:p>
        </w:tc>
        <w:tc>
          <w:tcPr>
            <w:tcW w:w="960" w:type="dxa"/>
            <w:tcBorders>
              <w:top w:val="nil"/>
              <w:left w:val="nil"/>
              <w:bottom w:val="nil"/>
              <w:right w:val="nil"/>
            </w:tcBorders>
            <w:noWrap/>
            <w:vAlign w:val="center"/>
          </w:tcPr>
          <w:p w14:paraId="2FF68FF2">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1.43</w:t>
            </w:r>
          </w:p>
        </w:tc>
        <w:tc>
          <w:tcPr>
            <w:tcW w:w="960" w:type="dxa"/>
            <w:tcBorders>
              <w:top w:val="nil"/>
              <w:left w:val="nil"/>
              <w:bottom w:val="nil"/>
              <w:right w:val="nil"/>
            </w:tcBorders>
            <w:noWrap/>
            <w:vAlign w:val="center"/>
          </w:tcPr>
          <w:p w14:paraId="6D93E3A7">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3.1</w:t>
            </w:r>
          </w:p>
        </w:tc>
        <w:tc>
          <w:tcPr>
            <w:tcW w:w="960" w:type="dxa"/>
            <w:tcBorders>
              <w:top w:val="nil"/>
              <w:left w:val="nil"/>
              <w:bottom w:val="nil"/>
              <w:right w:val="nil"/>
            </w:tcBorders>
            <w:noWrap/>
            <w:vAlign w:val="center"/>
          </w:tcPr>
          <w:p w14:paraId="3A441833">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4.5</w:t>
            </w:r>
          </w:p>
        </w:tc>
        <w:tc>
          <w:tcPr>
            <w:tcW w:w="960" w:type="dxa"/>
            <w:tcBorders>
              <w:top w:val="nil"/>
              <w:left w:val="nil"/>
              <w:bottom w:val="nil"/>
              <w:right w:val="nil"/>
            </w:tcBorders>
            <w:noWrap/>
            <w:vAlign w:val="center"/>
          </w:tcPr>
          <w:p w14:paraId="023441EA">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5.1</w:t>
            </w:r>
          </w:p>
        </w:tc>
        <w:tc>
          <w:tcPr>
            <w:tcW w:w="960" w:type="dxa"/>
            <w:tcBorders>
              <w:top w:val="nil"/>
              <w:left w:val="nil"/>
              <w:bottom w:val="nil"/>
              <w:right w:val="nil"/>
            </w:tcBorders>
            <w:noWrap/>
            <w:vAlign w:val="center"/>
          </w:tcPr>
          <w:p w14:paraId="0F96526E">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6.15</w:t>
            </w:r>
          </w:p>
        </w:tc>
        <w:tc>
          <w:tcPr>
            <w:tcW w:w="960" w:type="dxa"/>
            <w:tcBorders>
              <w:top w:val="nil"/>
              <w:left w:val="nil"/>
              <w:bottom w:val="nil"/>
              <w:right w:val="nil"/>
            </w:tcBorders>
            <w:noWrap/>
            <w:vAlign w:val="center"/>
          </w:tcPr>
          <w:p w14:paraId="3FA18E55">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8.4</w:t>
            </w:r>
          </w:p>
        </w:tc>
      </w:tr>
      <w:tr w14:paraId="374E6E56">
        <w:tblPrEx>
          <w:tblCellMar>
            <w:top w:w="0" w:type="dxa"/>
            <w:left w:w="108" w:type="dxa"/>
            <w:bottom w:w="0" w:type="dxa"/>
            <w:right w:w="108" w:type="dxa"/>
          </w:tblCellMar>
        </w:tblPrEx>
        <w:trPr>
          <w:trHeight w:val="300" w:hRule="atLeast"/>
        </w:trPr>
        <w:tc>
          <w:tcPr>
            <w:tcW w:w="960" w:type="dxa"/>
            <w:tcBorders>
              <w:top w:val="nil"/>
              <w:left w:val="nil"/>
              <w:bottom w:val="nil"/>
              <w:right w:val="nil"/>
            </w:tcBorders>
            <w:noWrap/>
            <w:vAlign w:val="center"/>
          </w:tcPr>
          <w:p w14:paraId="3138C93B">
            <w:pPr>
              <w:spacing w:after="0" w:line="240" w:lineRule="auto"/>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log_GE</w:t>
            </w:r>
          </w:p>
        </w:tc>
        <w:tc>
          <w:tcPr>
            <w:tcW w:w="960" w:type="dxa"/>
            <w:tcBorders>
              <w:top w:val="nil"/>
              <w:left w:val="nil"/>
              <w:bottom w:val="nil"/>
              <w:right w:val="nil"/>
            </w:tcBorders>
            <w:noWrap/>
            <w:vAlign w:val="center"/>
          </w:tcPr>
          <w:p w14:paraId="5788E8FF">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91</w:t>
            </w:r>
          </w:p>
        </w:tc>
        <w:tc>
          <w:tcPr>
            <w:tcW w:w="960" w:type="dxa"/>
            <w:tcBorders>
              <w:top w:val="nil"/>
              <w:left w:val="nil"/>
              <w:bottom w:val="nil"/>
              <w:right w:val="nil"/>
            </w:tcBorders>
            <w:noWrap/>
            <w:vAlign w:val="center"/>
          </w:tcPr>
          <w:p w14:paraId="787507A3">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9.96</w:t>
            </w:r>
          </w:p>
        </w:tc>
        <w:tc>
          <w:tcPr>
            <w:tcW w:w="960" w:type="dxa"/>
            <w:tcBorders>
              <w:top w:val="nil"/>
              <w:left w:val="nil"/>
              <w:bottom w:val="nil"/>
              <w:right w:val="nil"/>
            </w:tcBorders>
            <w:noWrap/>
            <w:vAlign w:val="center"/>
          </w:tcPr>
          <w:p w14:paraId="719D3A52">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0.23</w:t>
            </w:r>
          </w:p>
        </w:tc>
        <w:tc>
          <w:tcPr>
            <w:tcW w:w="960" w:type="dxa"/>
            <w:tcBorders>
              <w:top w:val="nil"/>
              <w:left w:val="nil"/>
              <w:bottom w:val="nil"/>
              <w:right w:val="nil"/>
            </w:tcBorders>
            <w:noWrap/>
            <w:vAlign w:val="center"/>
          </w:tcPr>
          <w:p w14:paraId="6547587B">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9.55</w:t>
            </w:r>
          </w:p>
        </w:tc>
        <w:tc>
          <w:tcPr>
            <w:tcW w:w="960" w:type="dxa"/>
            <w:tcBorders>
              <w:top w:val="nil"/>
              <w:left w:val="nil"/>
              <w:bottom w:val="nil"/>
              <w:right w:val="nil"/>
            </w:tcBorders>
            <w:noWrap/>
            <w:vAlign w:val="center"/>
          </w:tcPr>
          <w:p w14:paraId="58FDFCF6">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9.76</w:t>
            </w:r>
          </w:p>
        </w:tc>
        <w:tc>
          <w:tcPr>
            <w:tcW w:w="960" w:type="dxa"/>
            <w:tcBorders>
              <w:top w:val="nil"/>
              <w:left w:val="nil"/>
              <w:bottom w:val="nil"/>
              <w:right w:val="nil"/>
            </w:tcBorders>
            <w:noWrap/>
            <w:vAlign w:val="center"/>
          </w:tcPr>
          <w:p w14:paraId="6DE294FF">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10</w:t>
            </w:r>
          </w:p>
        </w:tc>
        <w:tc>
          <w:tcPr>
            <w:tcW w:w="960" w:type="dxa"/>
            <w:tcBorders>
              <w:top w:val="nil"/>
              <w:left w:val="nil"/>
              <w:bottom w:val="nil"/>
              <w:right w:val="nil"/>
            </w:tcBorders>
            <w:noWrap/>
            <w:vAlign w:val="center"/>
          </w:tcPr>
          <w:p w14:paraId="07FAA610">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10.14</w:t>
            </w:r>
          </w:p>
        </w:tc>
        <w:tc>
          <w:tcPr>
            <w:tcW w:w="960" w:type="dxa"/>
            <w:tcBorders>
              <w:top w:val="nil"/>
              <w:left w:val="nil"/>
              <w:bottom w:val="nil"/>
              <w:right w:val="nil"/>
            </w:tcBorders>
            <w:noWrap/>
            <w:vAlign w:val="center"/>
          </w:tcPr>
          <w:p w14:paraId="1E6A3C65">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10.44</w:t>
            </w:r>
          </w:p>
        </w:tc>
      </w:tr>
      <w:tr w14:paraId="40B7B524">
        <w:tblPrEx>
          <w:tblCellMar>
            <w:top w:w="0" w:type="dxa"/>
            <w:left w:w="108" w:type="dxa"/>
            <w:bottom w:w="0" w:type="dxa"/>
            <w:right w:w="108" w:type="dxa"/>
          </w:tblCellMar>
        </w:tblPrEx>
        <w:trPr>
          <w:trHeight w:val="300" w:hRule="atLeast"/>
        </w:trPr>
        <w:tc>
          <w:tcPr>
            <w:tcW w:w="960" w:type="dxa"/>
            <w:tcBorders>
              <w:top w:val="nil"/>
              <w:left w:val="nil"/>
              <w:bottom w:val="single" w:color="auto" w:sz="4" w:space="0"/>
              <w:right w:val="nil"/>
            </w:tcBorders>
            <w:noWrap/>
            <w:vAlign w:val="center"/>
          </w:tcPr>
          <w:p w14:paraId="25FDE66C">
            <w:pPr>
              <w:spacing w:after="0" w:line="240" w:lineRule="auto"/>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log_INC</w:t>
            </w:r>
          </w:p>
        </w:tc>
        <w:tc>
          <w:tcPr>
            <w:tcW w:w="960" w:type="dxa"/>
            <w:tcBorders>
              <w:top w:val="nil"/>
              <w:left w:val="nil"/>
              <w:bottom w:val="single" w:color="auto" w:sz="4" w:space="0"/>
              <w:right w:val="nil"/>
            </w:tcBorders>
            <w:noWrap/>
            <w:vAlign w:val="center"/>
          </w:tcPr>
          <w:p w14:paraId="5D236897">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91</w:t>
            </w:r>
          </w:p>
        </w:tc>
        <w:tc>
          <w:tcPr>
            <w:tcW w:w="960" w:type="dxa"/>
            <w:tcBorders>
              <w:top w:val="nil"/>
              <w:left w:val="nil"/>
              <w:bottom w:val="single" w:color="auto" w:sz="4" w:space="0"/>
              <w:right w:val="nil"/>
            </w:tcBorders>
            <w:noWrap/>
            <w:vAlign w:val="center"/>
          </w:tcPr>
          <w:p w14:paraId="51DB51D0">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8.57</w:t>
            </w:r>
          </w:p>
        </w:tc>
        <w:tc>
          <w:tcPr>
            <w:tcW w:w="960" w:type="dxa"/>
            <w:tcBorders>
              <w:top w:val="nil"/>
              <w:left w:val="nil"/>
              <w:bottom w:val="single" w:color="auto" w:sz="4" w:space="0"/>
              <w:right w:val="nil"/>
            </w:tcBorders>
            <w:noWrap/>
            <w:vAlign w:val="center"/>
          </w:tcPr>
          <w:p w14:paraId="6128214C">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0.07</w:t>
            </w:r>
          </w:p>
        </w:tc>
        <w:tc>
          <w:tcPr>
            <w:tcW w:w="960" w:type="dxa"/>
            <w:tcBorders>
              <w:top w:val="nil"/>
              <w:left w:val="nil"/>
              <w:bottom w:val="single" w:color="auto" w:sz="4" w:space="0"/>
              <w:right w:val="nil"/>
            </w:tcBorders>
            <w:noWrap/>
            <w:vAlign w:val="center"/>
          </w:tcPr>
          <w:p w14:paraId="483721E1">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8.41</w:t>
            </w:r>
          </w:p>
        </w:tc>
        <w:tc>
          <w:tcPr>
            <w:tcW w:w="960" w:type="dxa"/>
            <w:tcBorders>
              <w:top w:val="nil"/>
              <w:left w:val="nil"/>
              <w:bottom w:val="single" w:color="auto" w:sz="4" w:space="0"/>
              <w:right w:val="nil"/>
            </w:tcBorders>
            <w:noWrap/>
            <w:vAlign w:val="center"/>
          </w:tcPr>
          <w:p w14:paraId="15F199FC">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8.53</w:t>
            </w:r>
          </w:p>
        </w:tc>
        <w:tc>
          <w:tcPr>
            <w:tcW w:w="960" w:type="dxa"/>
            <w:tcBorders>
              <w:top w:val="nil"/>
              <w:left w:val="nil"/>
              <w:bottom w:val="single" w:color="auto" w:sz="4" w:space="0"/>
              <w:right w:val="nil"/>
            </w:tcBorders>
            <w:noWrap/>
            <w:vAlign w:val="center"/>
          </w:tcPr>
          <w:p w14:paraId="05C191E3">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8.56</w:t>
            </w:r>
          </w:p>
        </w:tc>
        <w:tc>
          <w:tcPr>
            <w:tcW w:w="960" w:type="dxa"/>
            <w:tcBorders>
              <w:top w:val="nil"/>
              <w:left w:val="nil"/>
              <w:bottom w:val="single" w:color="auto" w:sz="4" w:space="0"/>
              <w:right w:val="nil"/>
            </w:tcBorders>
            <w:noWrap/>
            <w:vAlign w:val="center"/>
          </w:tcPr>
          <w:p w14:paraId="4AB65843">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8.65</w:t>
            </w:r>
          </w:p>
        </w:tc>
        <w:tc>
          <w:tcPr>
            <w:tcW w:w="960" w:type="dxa"/>
            <w:tcBorders>
              <w:top w:val="nil"/>
              <w:left w:val="nil"/>
              <w:bottom w:val="single" w:color="auto" w:sz="4" w:space="0"/>
              <w:right w:val="nil"/>
            </w:tcBorders>
            <w:noWrap/>
            <w:vAlign w:val="center"/>
          </w:tcPr>
          <w:p w14:paraId="620B4906">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8.69</w:t>
            </w:r>
          </w:p>
        </w:tc>
      </w:tr>
    </w:tbl>
    <w:p w14:paraId="619FE6AC">
      <w:pPr>
        <w:spacing w:line="360" w:lineRule="auto"/>
        <w:rPr>
          <w:rFonts w:ascii="Times New Roman" w:hAnsi="Times New Roman" w:cs="Times New Roman"/>
        </w:rPr>
      </w:pPr>
    </w:p>
    <w:p w14:paraId="2B66D90E">
      <w:pPr>
        <w:spacing w:line="360" w:lineRule="auto"/>
        <w:jc w:val="both"/>
        <w:rPr>
          <w:rFonts w:ascii="Times New Roman" w:hAnsi="Times New Roman" w:cs="Times New Roman"/>
        </w:rPr>
      </w:pPr>
      <w:r>
        <w:rPr>
          <w:rFonts w:ascii="Times New Roman" w:hAnsi="Times New Roman" w:cs="Times New Roman"/>
        </w:rPr>
        <w:t>The CPI variation is the most admirable as it is reported to have fluctuated between -2.9 to 16.5 meaning the inflation was changing significantly all along. The unemployment rate is less volatile, its average is approximately 5.47, and the range is quite small. The variation in both log_GE and log_INC is very low indicating that there is a slow transformation in the expenditure on groceries and the household income with time. All in all, the most fluctuating variable is inflation, whereas income and expenditure will have more regular and consistent patterns.</w:t>
      </w:r>
    </w:p>
    <w:p w14:paraId="46591D34">
      <w:pPr>
        <w:spacing w:line="360" w:lineRule="auto"/>
        <w:jc w:val="both"/>
        <w:rPr>
          <w:rFonts w:ascii="Times New Roman" w:hAnsi="Times New Roman" w:cs="Times New Roman"/>
        </w:rPr>
      </w:pPr>
      <w:r>
        <w:rPr>
          <w:rFonts w:ascii="Times New Roman" w:hAnsi="Times New Roman" w:cs="Times New Roman"/>
          <w:lang w:val="en-US"/>
        </w:rPr>
        <w:drawing>
          <wp:anchor distT="0" distB="0" distL="114300" distR="114300" simplePos="0" relativeHeight="251660288" behindDoc="0" locked="0" layoutInCell="1" allowOverlap="1">
            <wp:simplePos x="0" y="0"/>
            <wp:positionH relativeFrom="margin">
              <wp:posOffset>386080</wp:posOffset>
            </wp:positionH>
            <wp:positionV relativeFrom="margin">
              <wp:posOffset>4452620</wp:posOffset>
            </wp:positionV>
            <wp:extent cx="4817110" cy="2767965"/>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817110" cy="2768264"/>
                    </a:xfrm>
                    <a:prstGeom prst="rect">
                      <a:avLst/>
                    </a:prstGeom>
                    <a:noFill/>
                    <a:ln>
                      <a:noFill/>
                    </a:ln>
                  </pic:spPr>
                </pic:pic>
              </a:graphicData>
            </a:graphic>
          </wp:anchor>
        </w:drawing>
      </w:r>
    </w:p>
    <w:p w14:paraId="6A36EA70">
      <w:pPr>
        <w:spacing w:line="360" w:lineRule="auto"/>
        <w:rPr>
          <w:rFonts w:ascii="Times New Roman" w:hAnsi="Times New Roman" w:cs="Times New Roman"/>
          <w:b/>
          <w:bCs/>
        </w:rPr>
      </w:pPr>
    </w:p>
    <w:p w14:paraId="5A2BCED4">
      <w:pPr>
        <w:spacing w:line="360" w:lineRule="auto"/>
        <w:rPr>
          <w:rFonts w:ascii="Times New Roman" w:hAnsi="Times New Roman" w:cs="Times New Roman"/>
          <w:b/>
          <w:bCs/>
        </w:rPr>
      </w:pPr>
    </w:p>
    <w:p w14:paraId="5B281736">
      <w:pPr>
        <w:spacing w:line="360" w:lineRule="auto"/>
        <w:rPr>
          <w:rFonts w:ascii="Times New Roman" w:hAnsi="Times New Roman" w:cs="Times New Roman"/>
          <w:b/>
          <w:bCs/>
        </w:rPr>
      </w:pPr>
    </w:p>
    <w:p w14:paraId="73E4BCB1">
      <w:pPr>
        <w:spacing w:line="360" w:lineRule="auto"/>
        <w:rPr>
          <w:rFonts w:ascii="Times New Roman" w:hAnsi="Times New Roman" w:cs="Times New Roman"/>
          <w:b/>
          <w:bCs/>
        </w:rPr>
      </w:pPr>
    </w:p>
    <w:p w14:paraId="61FB9F85">
      <w:pPr>
        <w:spacing w:line="360" w:lineRule="auto"/>
        <w:rPr>
          <w:rFonts w:ascii="Times New Roman" w:hAnsi="Times New Roman" w:cs="Times New Roman"/>
          <w:b/>
          <w:bCs/>
        </w:rPr>
      </w:pPr>
    </w:p>
    <w:p w14:paraId="0968398E">
      <w:pPr>
        <w:spacing w:line="360" w:lineRule="auto"/>
        <w:rPr>
          <w:rFonts w:ascii="Times New Roman" w:hAnsi="Times New Roman" w:cs="Times New Roman"/>
          <w:b/>
          <w:bCs/>
        </w:rPr>
      </w:pPr>
    </w:p>
    <w:p w14:paraId="24CEBD37">
      <w:pPr>
        <w:spacing w:line="360" w:lineRule="auto"/>
        <w:rPr>
          <w:rFonts w:ascii="Times New Roman" w:hAnsi="Times New Roman" w:cs="Times New Roman"/>
          <w:b/>
          <w:bCs/>
        </w:rPr>
      </w:pPr>
    </w:p>
    <w:p w14:paraId="706595E3">
      <w:pPr>
        <w:spacing w:line="360" w:lineRule="auto"/>
        <w:jc w:val="center"/>
        <w:rPr>
          <w:rFonts w:ascii="Times New Roman" w:hAnsi="Times New Roman" w:cs="Times New Roman"/>
          <w:b/>
          <w:bCs/>
          <w:i/>
          <w:iCs/>
          <w:sz w:val="20"/>
          <w:szCs w:val="20"/>
        </w:rPr>
      </w:pPr>
      <w:r>
        <w:rPr>
          <w:rFonts w:ascii="Times New Roman" w:hAnsi="Times New Roman" w:cs="Times New Roman"/>
          <w:b/>
          <w:bCs/>
          <w:i/>
          <w:iCs/>
          <w:sz w:val="20"/>
          <w:szCs w:val="20"/>
        </w:rPr>
        <w:t>Figure 2: Shows the trend between expenditure and CPI</w:t>
      </w:r>
    </w:p>
    <w:p w14:paraId="60922941">
      <w:pPr>
        <w:spacing w:line="360" w:lineRule="auto"/>
        <w:jc w:val="both"/>
        <w:rPr>
          <w:rFonts w:ascii="Times New Roman" w:hAnsi="Times New Roman" w:cs="Times New Roman"/>
        </w:rPr>
      </w:pPr>
      <w:r>
        <w:rPr>
          <w:rFonts w:ascii="Times New Roman" w:hAnsi="Times New Roman" w:cs="Times New Roman"/>
        </w:rPr>
        <w:t>It is depicted in the plot that log grocery expenditure (log_GE) is a gradually increasing smooth and steady upward trend with time, which suggests that household expenditure on food grows slowly. Conversely, CPI is a volatile index, with significant increases and decreases being related to the key economic events, e.g., the 2008 financial crisis and the 2020 inflation boom. Although CPI swings widely, grocery expenditures hardly change implying that households adapt slowly to inflation instead of responding in a sharp way to the fluctuations in commodity prices on a short-term basis.</w:t>
      </w:r>
    </w:p>
    <w:p w14:paraId="065CCDC7">
      <w:pPr>
        <w:spacing w:line="360" w:lineRule="auto"/>
        <w:jc w:val="center"/>
        <w:rPr>
          <w:rFonts w:ascii="Times New Roman" w:hAnsi="Times New Roman" w:cs="Times New Roman"/>
          <w:b/>
          <w:bCs/>
          <w:sz w:val="20"/>
          <w:szCs w:val="20"/>
        </w:rPr>
      </w:pPr>
    </w:p>
    <w:p w14:paraId="457D80D0">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Table 2: Correlation Matrix for Main Study Variables</w:t>
      </w:r>
    </w:p>
    <w:tbl>
      <w:tblPr>
        <w:tblStyle w:val="12"/>
        <w:tblW w:w="8308" w:type="dxa"/>
        <w:tblInd w:w="0" w:type="dxa"/>
        <w:tblLayout w:type="autofit"/>
        <w:tblCellMar>
          <w:top w:w="0" w:type="dxa"/>
          <w:left w:w="108" w:type="dxa"/>
          <w:bottom w:w="0" w:type="dxa"/>
          <w:right w:w="108" w:type="dxa"/>
        </w:tblCellMar>
      </w:tblPr>
      <w:tblGrid>
        <w:gridCol w:w="1688"/>
        <w:gridCol w:w="1655"/>
        <w:gridCol w:w="1655"/>
        <w:gridCol w:w="1655"/>
        <w:gridCol w:w="1655"/>
      </w:tblGrid>
      <w:tr w14:paraId="32A3D148">
        <w:tblPrEx>
          <w:tblCellMar>
            <w:top w:w="0" w:type="dxa"/>
            <w:left w:w="108" w:type="dxa"/>
            <w:bottom w:w="0" w:type="dxa"/>
            <w:right w:w="108" w:type="dxa"/>
          </w:tblCellMar>
        </w:tblPrEx>
        <w:trPr>
          <w:trHeight w:val="300" w:hRule="atLeast"/>
        </w:trPr>
        <w:tc>
          <w:tcPr>
            <w:tcW w:w="1688" w:type="dxa"/>
            <w:tcBorders>
              <w:top w:val="single" w:color="auto" w:sz="4" w:space="0"/>
              <w:left w:val="nil"/>
              <w:bottom w:val="single" w:color="auto" w:sz="4" w:space="0"/>
              <w:right w:val="nil"/>
            </w:tcBorders>
            <w:noWrap/>
            <w:vAlign w:val="center"/>
          </w:tcPr>
          <w:p w14:paraId="7B55F455">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Variable</w:t>
            </w:r>
          </w:p>
        </w:tc>
        <w:tc>
          <w:tcPr>
            <w:tcW w:w="1655" w:type="dxa"/>
            <w:tcBorders>
              <w:top w:val="single" w:color="auto" w:sz="4" w:space="0"/>
              <w:left w:val="nil"/>
              <w:bottom w:val="single" w:color="auto" w:sz="4" w:space="0"/>
              <w:right w:val="nil"/>
            </w:tcBorders>
            <w:noWrap/>
            <w:vAlign w:val="center"/>
          </w:tcPr>
          <w:p w14:paraId="4B9DAD1D">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log_GE</w:t>
            </w:r>
          </w:p>
        </w:tc>
        <w:tc>
          <w:tcPr>
            <w:tcW w:w="1655" w:type="dxa"/>
            <w:tcBorders>
              <w:top w:val="single" w:color="auto" w:sz="4" w:space="0"/>
              <w:left w:val="nil"/>
              <w:bottom w:val="single" w:color="auto" w:sz="4" w:space="0"/>
              <w:right w:val="nil"/>
            </w:tcBorders>
            <w:noWrap/>
            <w:vAlign w:val="center"/>
          </w:tcPr>
          <w:p w14:paraId="5A3D7CED">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log_INC</w:t>
            </w:r>
          </w:p>
        </w:tc>
        <w:tc>
          <w:tcPr>
            <w:tcW w:w="1655" w:type="dxa"/>
            <w:tcBorders>
              <w:top w:val="single" w:color="auto" w:sz="4" w:space="0"/>
              <w:left w:val="nil"/>
              <w:bottom w:val="single" w:color="auto" w:sz="4" w:space="0"/>
              <w:right w:val="nil"/>
            </w:tcBorders>
            <w:noWrap/>
            <w:vAlign w:val="center"/>
          </w:tcPr>
          <w:p w14:paraId="740D3C3D">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UR</w:t>
            </w:r>
          </w:p>
        </w:tc>
        <w:tc>
          <w:tcPr>
            <w:tcW w:w="1655" w:type="dxa"/>
            <w:tcBorders>
              <w:top w:val="single" w:color="auto" w:sz="4" w:space="0"/>
              <w:left w:val="nil"/>
              <w:bottom w:val="single" w:color="auto" w:sz="4" w:space="0"/>
              <w:right w:val="nil"/>
            </w:tcBorders>
            <w:noWrap/>
            <w:vAlign w:val="center"/>
          </w:tcPr>
          <w:p w14:paraId="41538495">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CPI</w:t>
            </w:r>
          </w:p>
        </w:tc>
      </w:tr>
      <w:tr w14:paraId="3A758A97">
        <w:tblPrEx>
          <w:tblCellMar>
            <w:top w:w="0" w:type="dxa"/>
            <w:left w:w="108" w:type="dxa"/>
            <w:bottom w:w="0" w:type="dxa"/>
            <w:right w:w="108" w:type="dxa"/>
          </w:tblCellMar>
        </w:tblPrEx>
        <w:trPr>
          <w:trHeight w:val="300" w:hRule="atLeast"/>
        </w:trPr>
        <w:tc>
          <w:tcPr>
            <w:tcW w:w="1688" w:type="dxa"/>
            <w:tcBorders>
              <w:top w:val="nil"/>
              <w:left w:val="nil"/>
              <w:bottom w:val="nil"/>
              <w:right w:val="nil"/>
            </w:tcBorders>
            <w:noWrap/>
            <w:vAlign w:val="center"/>
          </w:tcPr>
          <w:p w14:paraId="252506F5">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log_GE</w:t>
            </w:r>
          </w:p>
        </w:tc>
        <w:tc>
          <w:tcPr>
            <w:tcW w:w="1655" w:type="dxa"/>
            <w:tcBorders>
              <w:top w:val="nil"/>
              <w:left w:val="nil"/>
              <w:bottom w:val="nil"/>
              <w:right w:val="nil"/>
            </w:tcBorders>
            <w:noWrap/>
            <w:vAlign w:val="center"/>
          </w:tcPr>
          <w:p w14:paraId="3A7D9DAB">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1</w:t>
            </w:r>
          </w:p>
        </w:tc>
        <w:tc>
          <w:tcPr>
            <w:tcW w:w="1655" w:type="dxa"/>
            <w:tcBorders>
              <w:top w:val="nil"/>
              <w:left w:val="nil"/>
              <w:bottom w:val="nil"/>
              <w:right w:val="nil"/>
            </w:tcBorders>
            <w:noWrap/>
            <w:vAlign w:val="center"/>
          </w:tcPr>
          <w:p w14:paraId="2BCF73A2">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0.93</w:t>
            </w:r>
          </w:p>
        </w:tc>
        <w:tc>
          <w:tcPr>
            <w:tcW w:w="1655" w:type="dxa"/>
            <w:tcBorders>
              <w:top w:val="nil"/>
              <w:left w:val="nil"/>
              <w:bottom w:val="nil"/>
              <w:right w:val="nil"/>
            </w:tcBorders>
            <w:noWrap/>
            <w:vAlign w:val="center"/>
          </w:tcPr>
          <w:p w14:paraId="014AF9FF">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–0.30</w:t>
            </w:r>
          </w:p>
        </w:tc>
        <w:tc>
          <w:tcPr>
            <w:tcW w:w="1655" w:type="dxa"/>
            <w:tcBorders>
              <w:top w:val="nil"/>
              <w:left w:val="nil"/>
              <w:bottom w:val="nil"/>
              <w:right w:val="nil"/>
            </w:tcBorders>
            <w:noWrap/>
            <w:vAlign w:val="center"/>
          </w:tcPr>
          <w:p w14:paraId="105F0467">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0.08</w:t>
            </w:r>
          </w:p>
        </w:tc>
      </w:tr>
      <w:tr w14:paraId="44738BB1">
        <w:tblPrEx>
          <w:tblCellMar>
            <w:top w:w="0" w:type="dxa"/>
            <w:left w:w="108" w:type="dxa"/>
            <w:bottom w:w="0" w:type="dxa"/>
            <w:right w:w="108" w:type="dxa"/>
          </w:tblCellMar>
        </w:tblPrEx>
        <w:trPr>
          <w:trHeight w:val="300" w:hRule="atLeast"/>
        </w:trPr>
        <w:tc>
          <w:tcPr>
            <w:tcW w:w="1688" w:type="dxa"/>
            <w:tcBorders>
              <w:top w:val="nil"/>
              <w:left w:val="nil"/>
              <w:bottom w:val="nil"/>
              <w:right w:val="nil"/>
            </w:tcBorders>
            <w:noWrap/>
            <w:vAlign w:val="center"/>
          </w:tcPr>
          <w:p w14:paraId="663DD7E6">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log_INC</w:t>
            </w:r>
          </w:p>
        </w:tc>
        <w:tc>
          <w:tcPr>
            <w:tcW w:w="1655" w:type="dxa"/>
            <w:tcBorders>
              <w:top w:val="nil"/>
              <w:left w:val="nil"/>
              <w:bottom w:val="nil"/>
              <w:right w:val="nil"/>
            </w:tcBorders>
            <w:noWrap/>
            <w:vAlign w:val="center"/>
          </w:tcPr>
          <w:p w14:paraId="790C7FE8">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0.93</w:t>
            </w:r>
          </w:p>
        </w:tc>
        <w:tc>
          <w:tcPr>
            <w:tcW w:w="1655" w:type="dxa"/>
            <w:tcBorders>
              <w:top w:val="nil"/>
              <w:left w:val="nil"/>
              <w:bottom w:val="nil"/>
              <w:right w:val="nil"/>
            </w:tcBorders>
            <w:noWrap/>
            <w:vAlign w:val="center"/>
          </w:tcPr>
          <w:p w14:paraId="1153FF41">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1</w:t>
            </w:r>
          </w:p>
        </w:tc>
        <w:tc>
          <w:tcPr>
            <w:tcW w:w="1655" w:type="dxa"/>
            <w:tcBorders>
              <w:top w:val="nil"/>
              <w:left w:val="nil"/>
              <w:bottom w:val="nil"/>
              <w:right w:val="nil"/>
            </w:tcBorders>
            <w:noWrap/>
            <w:vAlign w:val="center"/>
          </w:tcPr>
          <w:p w14:paraId="1C74B1A6">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–0.38</w:t>
            </w:r>
          </w:p>
        </w:tc>
        <w:tc>
          <w:tcPr>
            <w:tcW w:w="1655" w:type="dxa"/>
            <w:tcBorders>
              <w:top w:val="nil"/>
              <w:left w:val="nil"/>
              <w:bottom w:val="nil"/>
              <w:right w:val="nil"/>
            </w:tcBorders>
            <w:noWrap/>
            <w:vAlign w:val="center"/>
          </w:tcPr>
          <w:p w14:paraId="4B4F6191">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–0.08</w:t>
            </w:r>
          </w:p>
        </w:tc>
      </w:tr>
      <w:tr w14:paraId="48DF323B">
        <w:tblPrEx>
          <w:tblCellMar>
            <w:top w:w="0" w:type="dxa"/>
            <w:left w:w="108" w:type="dxa"/>
            <w:bottom w:w="0" w:type="dxa"/>
            <w:right w:w="108" w:type="dxa"/>
          </w:tblCellMar>
        </w:tblPrEx>
        <w:trPr>
          <w:trHeight w:val="300" w:hRule="atLeast"/>
        </w:trPr>
        <w:tc>
          <w:tcPr>
            <w:tcW w:w="1688" w:type="dxa"/>
            <w:tcBorders>
              <w:top w:val="nil"/>
              <w:left w:val="nil"/>
              <w:bottom w:val="nil"/>
              <w:right w:val="nil"/>
            </w:tcBorders>
            <w:noWrap/>
            <w:vAlign w:val="center"/>
          </w:tcPr>
          <w:p w14:paraId="16F7B854">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UR</w:t>
            </w:r>
          </w:p>
        </w:tc>
        <w:tc>
          <w:tcPr>
            <w:tcW w:w="1655" w:type="dxa"/>
            <w:tcBorders>
              <w:top w:val="nil"/>
              <w:left w:val="nil"/>
              <w:bottom w:val="nil"/>
              <w:right w:val="nil"/>
            </w:tcBorders>
            <w:noWrap/>
            <w:vAlign w:val="center"/>
          </w:tcPr>
          <w:p w14:paraId="5CEA447B">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–0.30</w:t>
            </w:r>
          </w:p>
        </w:tc>
        <w:tc>
          <w:tcPr>
            <w:tcW w:w="1655" w:type="dxa"/>
            <w:tcBorders>
              <w:top w:val="nil"/>
              <w:left w:val="nil"/>
              <w:bottom w:val="nil"/>
              <w:right w:val="nil"/>
            </w:tcBorders>
            <w:noWrap/>
            <w:vAlign w:val="center"/>
          </w:tcPr>
          <w:p w14:paraId="65FFB803">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–0.38</w:t>
            </w:r>
          </w:p>
        </w:tc>
        <w:tc>
          <w:tcPr>
            <w:tcW w:w="1655" w:type="dxa"/>
            <w:tcBorders>
              <w:top w:val="nil"/>
              <w:left w:val="nil"/>
              <w:bottom w:val="nil"/>
              <w:right w:val="nil"/>
            </w:tcBorders>
            <w:noWrap/>
            <w:vAlign w:val="center"/>
          </w:tcPr>
          <w:p w14:paraId="7B72E9F4">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1</w:t>
            </w:r>
          </w:p>
        </w:tc>
        <w:tc>
          <w:tcPr>
            <w:tcW w:w="1655" w:type="dxa"/>
            <w:tcBorders>
              <w:top w:val="nil"/>
              <w:left w:val="nil"/>
              <w:bottom w:val="nil"/>
              <w:right w:val="nil"/>
            </w:tcBorders>
            <w:noWrap/>
            <w:vAlign w:val="center"/>
          </w:tcPr>
          <w:p w14:paraId="5109CFAB">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0.31</w:t>
            </w:r>
          </w:p>
        </w:tc>
      </w:tr>
      <w:tr w14:paraId="73D6D8C8">
        <w:tblPrEx>
          <w:tblCellMar>
            <w:top w:w="0" w:type="dxa"/>
            <w:left w:w="108" w:type="dxa"/>
            <w:bottom w:w="0" w:type="dxa"/>
            <w:right w:w="108" w:type="dxa"/>
          </w:tblCellMar>
        </w:tblPrEx>
        <w:trPr>
          <w:trHeight w:val="300" w:hRule="atLeast"/>
        </w:trPr>
        <w:tc>
          <w:tcPr>
            <w:tcW w:w="1688" w:type="dxa"/>
            <w:tcBorders>
              <w:top w:val="nil"/>
              <w:left w:val="nil"/>
              <w:bottom w:val="single" w:color="auto" w:sz="4" w:space="0"/>
              <w:right w:val="nil"/>
            </w:tcBorders>
            <w:noWrap/>
            <w:vAlign w:val="center"/>
          </w:tcPr>
          <w:p w14:paraId="1578EEB8">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CPI</w:t>
            </w:r>
          </w:p>
        </w:tc>
        <w:tc>
          <w:tcPr>
            <w:tcW w:w="1655" w:type="dxa"/>
            <w:tcBorders>
              <w:top w:val="nil"/>
              <w:left w:val="nil"/>
              <w:bottom w:val="single" w:color="auto" w:sz="4" w:space="0"/>
              <w:right w:val="nil"/>
            </w:tcBorders>
            <w:noWrap/>
            <w:vAlign w:val="center"/>
          </w:tcPr>
          <w:p w14:paraId="0A9B513C">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0.08</w:t>
            </w:r>
          </w:p>
        </w:tc>
        <w:tc>
          <w:tcPr>
            <w:tcW w:w="1655" w:type="dxa"/>
            <w:tcBorders>
              <w:top w:val="nil"/>
              <w:left w:val="nil"/>
              <w:bottom w:val="single" w:color="auto" w:sz="4" w:space="0"/>
              <w:right w:val="nil"/>
            </w:tcBorders>
            <w:noWrap/>
            <w:vAlign w:val="center"/>
          </w:tcPr>
          <w:p w14:paraId="247B998F">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–0.08</w:t>
            </w:r>
          </w:p>
        </w:tc>
        <w:tc>
          <w:tcPr>
            <w:tcW w:w="1655" w:type="dxa"/>
            <w:tcBorders>
              <w:top w:val="nil"/>
              <w:left w:val="nil"/>
              <w:bottom w:val="single" w:color="auto" w:sz="4" w:space="0"/>
              <w:right w:val="nil"/>
            </w:tcBorders>
            <w:noWrap/>
            <w:vAlign w:val="center"/>
          </w:tcPr>
          <w:p w14:paraId="1B12AFEB">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0.31</w:t>
            </w:r>
          </w:p>
        </w:tc>
        <w:tc>
          <w:tcPr>
            <w:tcW w:w="1655" w:type="dxa"/>
            <w:tcBorders>
              <w:top w:val="nil"/>
              <w:left w:val="nil"/>
              <w:bottom w:val="single" w:color="auto" w:sz="4" w:space="0"/>
              <w:right w:val="nil"/>
            </w:tcBorders>
            <w:noWrap/>
            <w:vAlign w:val="center"/>
          </w:tcPr>
          <w:p w14:paraId="6A798A43">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1</w:t>
            </w:r>
          </w:p>
        </w:tc>
      </w:tr>
    </w:tbl>
    <w:p w14:paraId="287372D9">
      <w:pPr>
        <w:spacing w:line="360" w:lineRule="auto"/>
        <w:jc w:val="both"/>
        <w:rPr>
          <w:rFonts w:ascii="Times New Roman" w:hAnsi="Times New Roman" w:cs="Times New Roman"/>
        </w:rPr>
      </w:pPr>
    </w:p>
    <w:p w14:paraId="293EFB47">
      <w:pPr>
        <w:spacing w:line="360" w:lineRule="auto"/>
        <w:jc w:val="both"/>
        <w:rPr>
          <w:rFonts w:ascii="Times New Roman" w:hAnsi="Times New Roman" w:cs="Times New Roman"/>
          <w:b/>
          <w:bCs/>
        </w:rPr>
      </w:pPr>
      <w:r>
        <w:rPr>
          <w:rFonts w:ascii="Times New Roman" w:hAnsi="Times New Roman" w:cs="Times New Roman"/>
        </w:rPr>
        <w:t>The correlation analysis indicates that there is a very strong positive correlation between log GE and log INC which means that a high household income is strongly correlated with an increased grocery expenditure. Unemployment (UR) has a moderate negative relationship with log_GE and log_INC implying that the greater the unemployment, the lower the income and expenditure. CPI correlates with log_GE and log_INC only imperfectly, which shows that inflation will not shift directly in accordance with spending on grocery and income. CPI has a moderate positive relationship with UR and the higher the inflation periods the more likely to have slightly high unemployment.</w:t>
      </w:r>
    </w:p>
    <w:p w14:paraId="76E1CA32">
      <w:pPr>
        <w:pStyle w:val="3"/>
      </w:pPr>
      <w:bookmarkStart w:id="20" w:name="_Toc218351983"/>
      <w:r>
        <w:t>6.2 Regression Analysis</w:t>
      </w:r>
      <w:bookmarkEnd w:id="20"/>
    </w:p>
    <w:p w14:paraId="4463631E">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Table 3: Regression Results for CPI Effects on log(GE)</w:t>
      </w:r>
    </w:p>
    <w:tbl>
      <w:tblPr>
        <w:tblStyle w:val="12"/>
        <w:tblW w:w="8493" w:type="dxa"/>
        <w:tblInd w:w="0" w:type="dxa"/>
        <w:tblLayout w:type="autofit"/>
        <w:tblCellMar>
          <w:top w:w="0" w:type="dxa"/>
          <w:left w:w="108" w:type="dxa"/>
          <w:bottom w:w="0" w:type="dxa"/>
          <w:right w:w="108" w:type="dxa"/>
        </w:tblCellMar>
      </w:tblPr>
      <w:tblGrid>
        <w:gridCol w:w="4426"/>
        <w:gridCol w:w="1569"/>
        <w:gridCol w:w="1249"/>
        <w:gridCol w:w="1249"/>
      </w:tblGrid>
      <w:tr w14:paraId="2C244E8E">
        <w:tblPrEx>
          <w:tblCellMar>
            <w:top w:w="0" w:type="dxa"/>
            <w:left w:w="108" w:type="dxa"/>
            <w:bottom w:w="0" w:type="dxa"/>
            <w:right w:w="108" w:type="dxa"/>
          </w:tblCellMar>
        </w:tblPrEx>
        <w:trPr>
          <w:trHeight w:val="293" w:hRule="atLeast"/>
        </w:trPr>
        <w:tc>
          <w:tcPr>
            <w:tcW w:w="4426" w:type="dxa"/>
            <w:tcBorders>
              <w:top w:val="single" w:color="auto" w:sz="4" w:space="0"/>
              <w:left w:val="nil"/>
              <w:bottom w:val="single" w:color="auto" w:sz="4" w:space="0"/>
              <w:right w:val="nil"/>
            </w:tcBorders>
            <w:noWrap/>
            <w:vAlign w:val="center"/>
          </w:tcPr>
          <w:p w14:paraId="6D84C32A">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Predictor</w:t>
            </w:r>
          </w:p>
        </w:tc>
        <w:tc>
          <w:tcPr>
            <w:tcW w:w="1569" w:type="dxa"/>
            <w:tcBorders>
              <w:top w:val="single" w:color="auto" w:sz="4" w:space="0"/>
              <w:left w:val="nil"/>
              <w:bottom w:val="single" w:color="auto" w:sz="4" w:space="0"/>
              <w:right w:val="nil"/>
            </w:tcBorders>
            <w:noWrap/>
            <w:vAlign w:val="center"/>
          </w:tcPr>
          <w:p w14:paraId="6FBFF2A1">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Coefficient</w:t>
            </w:r>
          </w:p>
        </w:tc>
        <w:tc>
          <w:tcPr>
            <w:tcW w:w="1249" w:type="dxa"/>
            <w:tcBorders>
              <w:top w:val="single" w:color="auto" w:sz="4" w:space="0"/>
              <w:left w:val="nil"/>
              <w:bottom w:val="single" w:color="auto" w:sz="4" w:space="0"/>
              <w:right w:val="nil"/>
            </w:tcBorders>
            <w:noWrap/>
            <w:vAlign w:val="center"/>
          </w:tcPr>
          <w:p w14:paraId="6BCB40BD">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Std. Error</w:t>
            </w:r>
          </w:p>
        </w:tc>
        <w:tc>
          <w:tcPr>
            <w:tcW w:w="1249" w:type="dxa"/>
            <w:tcBorders>
              <w:top w:val="single" w:color="auto" w:sz="4" w:space="0"/>
              <w:left w:val="nil"/>
              <w:bottom w:val="single" w:color="auto" w:sz="4" w:space="0"/>
              <w:right w:val="nil"/>
            </w:tcBorders>
            <w:noWrap/>
            <w:vAlign w:val="center"/>
          </w:tcPr>
          <w:p w14:paraId="33B5DDEA">
            <w:pPr>
              <w:spacing w:after="0" w:line="240" w:lineRule="auto"/>
              <w:jc w:val="center"/>
              <w:rPr>
                <w:rFonts w:ascii="Times New Roman" w:hAnsi="Times New Roman" w:eastAsia="Times New Roman" w:cs="Times New Roman"/>
                <w:b/>
                <w:bCs/>
                <w:i/>
                <w:iCs/>
                <w:color w:val="000000"/>
                <w:kern w:val="0"/>
                <w:sz w:val="22"/>
                <w:szCs w:val="22"/>
                <w:lang w:val="en-US"/>
                <w14:ligatures w14:val="none"/>
              </w:rPr>
            </w:pPr>
            <w:r>
              <w:rPr>
                <w:rFonts w:ascii="Times New Roman" w:hAnsi="Times New Roman" w:eastAsia="Times New Roman" w:cs="Times New Roman"/>
                <w:b/>
                <w:bCs/>
                <w:i/>
                <w:iCs/>
                <w:color w:val="000000"/>
                <w:kern w:val="0"/>
                <w:sz w:val="22"/>
                <w:szCs w:val="22"/>
                <w:lang w:val="en-US"/>
                <w14:ligatures w14:val="none"/>
              </w:rPr>
              <w:t>p</w:t>
            </w:r>
            <w:r>
              <w:rPr>
                <w:rFonts w:ascii="Times New Roman" w:hAnsi="Times New Roman" w:eastAsia="Times New Roman" w:cs="Times New Roman"/>
                <w:b/>
                <w:bCs/>
                <w:color w:val="000000"/>
                <w:kern w:val="0"/>
                <w:sz w:val="22"/>
                <w:szCs w:val="22"/>
                <w:lang w:val="en-US"/>
                <w14:ligatures w14:val="none"/>
              </w:rPr>
              <w:t>-value</w:t>
            </w:r>
          </w:p>
        </w:tc>
      </w:tr>
      <w:tr w14:paraId="75B696C9">
        <w:tblPrEx>
          <w:tblCellMar>
            <w:top w:w="0" w:type="dxa"/>
            <w:left w:w="108" w:type="dxa"/>
            <w:bottom w:w="0" w:type="dxa"/>
            <w:right w:w="108" w:type="dxa"/>
          </w:tblCellMar>
        </w:tblPrEx>
        <w:trPr>
          <w:trHeight w:val="293" w:hRule="atLeast"/>
        </w:trPr>
        <w:tc>
          <w:tcPr>
            <w:tcW w:w="4426" w:type="dxa"/>
            <w:tcBorders>
              <w:top w:val="nil"/>
              <w:left w:val="nil"/>
              <w:bottom w:val="nil"/>
              <w:right w:val="nil"/>
            </w:tcBorders>
            <w:noWrap/>
            <w:vAlign w:val="center"/>
          </w:tcPr>
          <w:p w14:paraId="49F158E3">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Baseline Model</w:t>
            </w:r>
          </w:p>
        </w:tc>
        <w:tc>
          <w:tcPr>
            <w:tcW w:w="1569" w:type="dxa"/>
            <w:tcBorders>
              <w:top w:val="nil"/>
              <w:left w:val="nil"/>
              <w:bottom w:val="nil"/>
              <w:right w:val="nil"/>
            </w:tcBorders>
            <w:noWrap/>
            <w:vAlign w:val="center"/>
          </w:tcPr>
          <w:p w14:paraId="100E95F0">
            <w:pPr>
              <w:spacing w:after="0" w:line="240" w:lineRule="auto"/>
              <w:rPr>
                <w:rFonts w:ascii="Times New Roman" w:hAnsi="Times New Roman" w:eastAsia="Times New Roman" w:cs="Times New Roman"/>
                <w:b/>
                <w:bCs/>
                <w:color w:val="000000"/>
                <w:kern w:val="0"/>
                <w:sz w:val="22"/>
                <w:szCs w:val="22"/>
                <w:lang w:val="en-US"/>
                <w14:ligatures w14:val="none"/>
              </w:rPr>
            </w:pPr>
          </w:p>
        </w:tc>
        <w:tc>
          <w:tcPr>
            <w:tcW w:w="1249" w:type="dxa"/>
            <w:tcBorders>
              <w:top w:val="nil"/>
              <w:left w:val="nil"/>
              <w:bottom w:val="nil"/>
              <w:right w:val="nil"/>
            </w:tcBorders>
            <w:noWrap/>
            <w:vAlign w:val="center"/>
          </w:tcPr>
          <w:p w14:paraId="1C053C46">
            <w:pPr>
              <w:spacing w:after="0" w:line="240" w:lineRule="auto"/>
              <w:rPr>
                <w:rFonts w:ascii="Times New Roman" w:hAnsi="Times New Roman" w:eastAsia="Times New Roman" w:cs="Times New Roman"/>
                <w:kern w:val="0"/>
                <w:sz w:val="20"/>
                <w:szCs w:val="20"/>
                <w:lang w:val="en-US"/>
                <w14:ligatures w14:val="none"/>
              </w:rPr>
            </w:pPr>
          </w:p>
        </w:tc>
        <w:tc>
          <w:tcPr>
            <w:tcW w:w="1249" w:type="dxa"/>
            <w:tcBorders>
              <w:top w:val="nil"/>
              <w:left w:val="nil"/>
              <w:bottom w:val="nil"/>
              <w:right w:val="nil"/>
            </w:tcBorders>
            <w:noWrap/>
            <w:vAlign w:val="center"/>
          </w:tcPr>
          <w:p w14:paraId="29285754">
            <w:pPr>
              <w:spacing w:after="0" w:line="240" w:lineRule="auto"/>
              <w:rPr>
                <w:rFonts w:ascii="Times New Roman" w:hAnsi="Times New Roman" w:eastAsia="Times New Roman" w:cs="Times New Roman"/>
                <w:kern w:val="0"/>
                <w:sz w:val="20"/>
                <w:szCs w:val="20"/>
                <w:lang w:val="en-US"/>
                <w14:ligatures w14:val="none"/>
              </w:rPr>
            </w:pPr>
          </w:p>
        </w:tc>
      </w:tr>
      <w:tr w14:paraId="3B28CB31">
        <w:tblPrEx>
          <w:tblCellMar>
            <w:top w:w="0" w:type="dxa"/>
            <w:left w:w="108" w:type="dxa"/>
            <w:bottom w:w="0" w:type="dxa"/>
            <w:right w:w="108" w:type="dxa"/>
          </w:tblCellMar>
        </w:tblPrEx>
        <w:trPr>
          <w:trHeight w:val="293" w:hRule="atLeast"/>
        </w:trPr>
        <w:tc>
          <w:tcPr>
            <w:tcW w:w="4426" w:type="dxa"/>
            <w:tcBorders>
              <w:top w:val="nil"/>
              <w:left w:val="nil"/>
              <w:bottom w:val="nil"/>
              <w:right w:val="nil"/>
            </w:tcBorders>
            <w:noWrap/>
            <w:vAlign w:val="center"/>
          </w:tcPr>
          <w:p w14:paraId="1B4BBDF1">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CPI</w:t>
            </w:r>
          </w:p>
        </w:tc>
        <w:tc>
          <w:tcPr>
            <w:tcW w:w="1569" w:type="dxa"/>
            <w:tcBorders>
              <w:top w:val="nil"/>
              <w:left w:val="nil"/>
              <w:bottom w:val="nil"/>
              <w:right w:val="nil"/>
            </w:tcBorders>
            <w:noWrap/>
            <w:vAlign w:val="center"/>
          </w:tcPr>
          <w:p w14:paraId="48BA62B7">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0.0055</w:t>
            </w:r>
          </w:p>
        </w:tc>
        <w:tc>
          <w:tcPr>
            <w:tcW w:w="1249" w:type="dxa"/>
            <w:tcBorders>
              <w:top w:val="nil"/>
              <w:left w:val="nil"/>
              <w:bottom w:val="nil"/>
              <w:right w:val="nil"/>
            </w:tcBorders>
            <w:noWrap/>
            <w:vAlign w:val="center"/>
          </w:tcPr>
          <w:p w14:paraId="28088BF3">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0.007</w:t>
            </w:r>
          </w:p>
        </w:tc>
        <w:tc>
          <w:tcPr>
            <w:tcW w:w="1249" w:type="dxa"/>
            <w:tcBorders>
              <w:top w:val="nil"/>
              <w:left w:val="nil"/>
              <w:bottom w:val="nil"/>
              <w:right w:val="nil"/>
            </w:tcBorders>
            <w:noWrap/>
            <w:vAlign w:val="center"/>
          </w:tcPr>
          <w:p w14:paraId="13D85273">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0.432</w:t>
            </w:r>
          </w:p>
        </w:tc>
      </w:tr>
      <w:tr w14:paraId="30AAADA8">
        <w:tblPrEx>
          <w:tblCellMar>
            <w:top w:w="0" w:type="dxa"/>
            <w:left w:w="108" w:type="dxa"/>
            <w:bottom w:w="0" w:type="dxa"/>
            <w:right w:w="108" w:type="dxa"/>
          </w:tblCellMar>
        </w:tblPrEx>
        <w:trPr>
          <w:trHeight w:val="293" w:hRule="atLeast"/>
        </w:trPr>
        <w:tc>
          <w:tcPr>
            <w:tcW w:w="4426" w:type="dxa"/>
            <w:tcBorders>
              <w:top w:val="nil"/>
              <w:left w:val="nil"/>
              <w:bottom w:val="single" w:color="auto" w:sz="4" w:space="0"/>
              <w:right w:val="nil"/>
            </w:tcBorders>
            <w:noWrap/>
            <w:vAlign w:val="center"/>
          </w:tcPr>
          <w:p w14:paraId="0F6764F3">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Model Fit:</w:t>
            </w:r>
          </w:p>
        </w:tc>
        <w:tc>
          <w:tcPr>
            <w:tcW w:w="1569" w:type="dxa"/>
            <w:tcBorders>
              <w:top w:val="nil"/>
              <w:left w:val="nil"/>
              <w:bottom w:val="single" w:color="auto" w:sz="4" w:space="0"/>
              <w:right w:val="nil"/>
            </w:tcBorders>
            <w:noWrap/>
            <w:vAlign w:val="center"/>
          </w:tcPr>
          <w:p w14:paraId="001C3F98">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c>
          <w:tcPr>
            <w:tcW w:w="1249" w:type="dxa"/>
            <w:tcBorders>
              <w:top w:val="nil"/>
              <w:left w:val="nil"/>
              <w:bottom w:val="single" w:color="auto" w:sz="4" w:space="0"/>
              <w:right w:val="nil"/>
            </w:tcBorders>
            <w:noWrap/>
            <w:vAlign w:val="center"/>
          </w:tcPr>
          <w:p w14:paraId="1AB3E468">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c>
          <w:tcPr>
            <w:tcW w:w="1249" w:type="dxa"/>
            <w:tcBorders>
              <w:top w:val="nil"/>
              <w:left w:val="nil"/>
              <w:bottom w:val="single" w:color="auto" w:sz="4" w:space="0"/>
              <w:right w:val="nil"/>
            </w:tcBorders>
            <w:noWrap/>
            <w:vAlign w:val="center"/>
          </w:tcPr>
          <w:p w14:paraId="0B30E98A">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r>
      <w:tr w14:paraId="30F6F06B">
        <w:tblPrEx>
          <w:tblCellMar>
            <w:top w:w="0" w:type="dxa"/>
            <w:left w:w="108" w:type="dxa"/>
            <w:bottom w:w="0" w:type="dxa"/>
            <w:right w:w="108" w:type="dxa"/>
          </w:tblCellMar>
        </w:tblPrEx>
        <w:trPr>
          <w:trHeight w:val="293" w:hRule="atLeast"/>
        </w:trPr>
        <w:tc>
          <w:tcPr>
            <w:tcW w:w="4426" w:type="dxa"/>
            <w:tcBorders>
              <w:top w:val="nil"/>
              <w:left w:val="nil"/>
              <w:bottom w:val="nil"/>
              <w:right w:val="nil"/>
            </w:tcBorders>
            <w:noWrap/>
            <w:vAlign w:val="center"/>
          </w:tcPr>
          <w:p w14:paraId="78504C47">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R²</w:t>
            </w:r>
          </w:p>
        </w:tc>
        <w:tc>
          <w:tcPr>
            <w:tcW w:w="1569" w:type="dxa"/>
            <w:tcBorders>
              <w:top w:val="nil"/>
              <w:left w:val="nil"/>
              <w:bottom w:val="nil"/>
              <w:right w:val="nil"/>
            </w:tcBorders>
            <w:noWrap/>
            <w:vAlign w:val="center"/>
          </w:tcPr>
          <w:p w14:paraId="630B852A">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0.007</w:t>
            </w:r>
          </w:p>
        </w:tc>
        <w:tc>
          <w:tcPr>
            <w:tcW w:w="1249" w:type="dxa"/>
            <w:tcBorders>
              <w:top w:val="nil"/>
              <w:left w:val="nil"/>
              <w:bottom w:val="nil"/>
              <w:right w:val="nil"/>
            </w:tcBorders>
            <w:noWrap/>
            <w:vAlign w:val="center"/>
          </w:tcPr>
          <w:p w14:paraId="7A416B4C">
            <w:pPr>
              <w:spacing w:after="0" w:line="240" w:lineRule="auto"/>
              <w:jc w:val="right"/>
              <w:rPr>
                <w:rFonts w:ascii="Times New Roman" w:hAnsi="Times New Roman" w:eastAsia="Times New Roman" w:cs="Times New Roman"/>
                <w:color w:val="000000"/>
                <w:kern w:val="0"/>
                <w:sz w:val="22"/>
                <w:szCs w:val="22"/>
                <w:lang w:val="en-US"/>
                <w14:ligatures w14:val="none"/>
              </w:rPr>
            </w:pPr>
          </w:p>
        </w:tc>
        <w:tc>
          <w:tcPr>
            <w:tcW w:w="1249" w:type="dxa"/>
            <w:tcBorders>
              <w:top w:val="nil"/>
              <w:left w:val="nil"/>
              <w:bottom w:val="nil"/>
              <w:right w:val="nil"/>
            </w:tcBorders>
            <w:noWrap/>
            <w:vAlign w:val="center"/>
          </w:tcPr>
          <w:p w14:paraId="471137E5">
            <w:pPr>
              <w:spacing w:after="0" w:line="240" w:lineRule="auto"/>
              <w:jc w:val="right"/>
              <w:rPr>
                <w:rFonts w:ascii="Times New Roman" w:hAnsi="Times New Roman" w:eastAsia="Times New Roman" w:cs="Times New Roman"/>
                <w:kern w:val="0"/>
                <w:sz w:val="20"/>
                <w:szCs w:val="20"/>
                <w:lang w:val="en-US"/>
                <w14:ligatures w14:val="none"/>
              </w:rPr>
            </w:pPr>
          </w:p>
        </w:tc>
      </w:tr>
      <w:tr w14:paraId="13953E63">
        <w:tblPrEx>
          <w:tblCellMar>
            <w:top w:w="0" w:type="dxa"/>
            <w:left w:w="108" w:type="dxa"/>
            <w:bottom w:w="0" w:type="dxa"/>
            <w:right w:w="108" w:type="dxa"/>
          </w:tblCellMar>
        </w:tblPrEx>
        <w:trPr>
          <w:trHeight w:val="293" w:hRule="atLeast"/>
        </w:trPr>
        <w:tc>
          <w:tcPr>
            <w:tcW w:w="4426" w:type="dxa"/>
            <w:tcBorders>
              <w:top w:val="nil"/>
              <w:left w:val="nil"/>
              <w:bottom w:val="nil"/>
              <w:right w:val="nil"/>
            </w:tcBorders>
            <w:noWrap/>
            <w:vAlign w:val="center"/>
          </w:tcPr>
          <w:p w14:paraId="03B2886D">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Adjusted R²</w:t>
            </w:r>
          </w:p>
        </w:tc>
        <w:tc>
          <w:tcPr>
            <w:tcW w:w="1569" w:type="dxa"/>
            <w:tcBorders>
              <w:top w:val="nil"/>
              <w:left w:val="nil"/>
              <w:bottom w:val="nil"/>
              <w:right w:val="nil"/>
            </w:tcBorders>
            <w:noWrap/>
            <w:vAlign w:val="center"/>
          </w:tcPr>
          <w:p w14:paraId="29316018">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–0.004</w:t>
            </w:r>
          </w:p>
        </w:tc>
        <w:tc>
          <w:tcPr>
            <w:tcW w:w="1249" w:type="dxa"/>
            <w:tcBorders>
              <w:top w:val="nil"/>
              <w:left w:val="nil"/>
              <w:bottom w:val="nil"/>
              <w:right w:val="nil"/>
            </w:tcBorders>
            <w:noWrap/>
            <w:vAlign w:val="center"/>
          </w:tcPr>
          <w:p w14:paraId="69ACBA4D">
            <w:pPr>
              <w:spacing w:after="0" w:line="240" w:lineRule="auto"/>
              <w:jc w:val="right"/>
              <w:rPr>
                <w:rFonts w:ascii="Times New Roman" w:hAnsi="Times New Roman" w:eastAsia="Times New Roman" w:cs="Times New Roman"/>
                <w:color w:val="000000"/>
                <w:kern w:val="0"/>
                <w:sz w:val="22"/>
                <w:szCs w:val="22"/>
                <w:lang w:val="en-US"/>
                <w14:ligatures w14:val="none"/>
              </w:rPr>
            </w:pPr>
          </w:p>
        </w:tc>
        <w:tc>
          <w:tcPr>
            <w:tcW w:w="1249" w:type="dxa"/>
            <w:tcBorders>
              <w:top w:val="nil"/>
              <w:left w:val="nil"/>
              <w:bottom w:val="nil"/>
              <w:right w:val="nil"/>
            </w:tcBorders>
            <w:noWrap/>
            <w:vAlign w:val="center"/>
          </w:tcPr>
          <w:p w14:paraId="35D642AA">
            <w:pPr>
              <w:spacing w:after="0" w:line="240" w:lineRule="auto"/>
              <w:jc w:val="right"/>
              <w:rPr>
                <w:rFonts w:ascii="Times New Roman" w:hAnsi="Times New Roman" w:eastAsia="Times New Roman" w:cs="Times New Roman"/>
                <w:kern w:val="0"/>
                <w:sz w:val="20"/>
                <w:szCs w:val="20"/>
                <w:lang w:val="en-US"/>
                <w14:ligatures w14:val="none"/>
              </w:rPr>
            </w:pPr>
          </w:p>
        </w:tc>
      </w:tr>
      <w:tr w14:paraId="61446744">
        <w:tblPrEx>
          <w:tblCellMar>
            <w:top w:w="0" w:type="dxa"/>
            <w:left w:w="108" w:type="dxa"/>
            <w:bottom w:w="0" w:type="dxa"/>
            <w:right w:w="108" w:type="dxa"/>
          </w:tblCellMar>
        </w:tblPrEx>
        <w:trPr>
          <w:trHeight w:val="293" w:hRule="atLeast"/>
        </w:trPr>
        <w:tc>
          <w:tcPr>
            <w:tcW w:w="4426" w:type="dxa"/>
            <w:tcBorders>
              <w:top w:val="nil"/>
              <w:left w:val="nil"/>
              <w:bottom w:val="single" w:color="auto" w:sz="4" w:space="0"/>
              <w:right w:val="nil"/>
            </w:tcBorders>
            <w:noWrap/>
            <w:vAlign w:val="center"/>
          </w:tcPr>
          <w:p w14:paraId="558E3B48">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Observations</w:t>
            </w:r>
          </w:p>
        </w:tc>
        <w:tc>
          <w:tcPr>
            <w:tcW w:w="1569" w:type="dxa"/>
            <w:tcBorders>
              <w:top w:val="nil"/>
              <w:left w:val="nil"/>
              <w:bottom w:val="single" w:color="auto" w:sz="4" w:space="0"/>
              <w:right w:val="nil"/>
            </w:tcBorders>
            <w:noWrap/>
            <w:vAlign w:val="center"/>
          </w:tcPr>
          <w:p w14:paraId="6BFCD348">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91</w:t>
            </w:r>
          </w:p>
        </w:tc>
        <w:tc>
          <w:tcPr>
            <w:tcW w:w="1249" w:type="dxa"/>
            <w:tcBorders>
              <w:top w:val="nil"/>
              <w:left w:val="nil"/>
              <w:bottom w:val="single" w:color="auto" w:sz="4" w:space="0"/>
              <w:right w:val="nil"/>
            </w:tcBorders>
            <w:noWrap/>
            <w:vAlign w:val="center"/>
          </w:tcPr>
          <w:p w14:paraId="5BC6A8BD">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c>
          <w:tcPr>
            <w:tcW w:w="1249" w:type="dxa"/>
            <w:tcBorders>
              <w:top w:val="nil"/>
              <w:left w:val="nil"/>
              <w:bottom w:val="single" w:color="auto" w:sz="4" w:space="0"/>
              <w:right w:val="nil"/>
            </w:tcBorders>
            <w:noWrap/>
            <w:vAlign w:val="center"/>
          </w:tcPr>
          <w:p w14:paraId="424B0377">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r>
      <w:tr w14:paraId="62673E8A">
        <w:tblPrEx>
          <w:tblCellMar>
            <w:top w:w="0" w:type="dxa"/>
            <w:left w:w="108" w:type="dxa"/>
            <w:bottom w:w="0" w:type="dxa"/>
            <w:right w:w="108" w:type="dxa"/>
          </w:tblCellMar>
        </w:tblPrEx>
        <w:trPr>
          <w:trHeight w:val="293" w:hRule="atLeast"/>
        </w:trPr>
        <w:tc>
          <w:tcPr>
            <w:tcW w:w="4426" w:type="dxa"/>
            <w:tcBorders>
              <w:top w:val="nil"/>
              <w:left w:val="nil"/>
              <w:bottom w:val="nil"/>
              <w:right w:val="nil"/>
            </w:tcBorders>
            <w:noWrap/>
            <w:vAlign w:val="center"/>
          </w:tcPr>
          <w:p w14:paraId="7DD9403D">
            <w:pPr>
              <w:spacing w:after="0" w:line="240" w:lineRule="auto"/>
              <w:jc w:val="right"/>
              <w:rPr>
                <w:rFonts w:ascii="Times New Roman" w:hAnsi="Times New Roman" w:eastAsia="Times New Roman" w:cs="Times New Roman"/>
                <w:color w:val="000000"/>
                <w:kern w:val="0"/>
                <w:sz w:val="22"/>
                <w:szCs w:val="22"/>
                <w:lang w:val="en-US"/>
                <w14:ligatures w14:val="none"/>
              </w:rPr>
            </w:pPr>
          </w:p>
        </w:tc>
        <w:tc>
          <w:tcPr>
            <w:tcW w:w="1569" w:type="dxa"/>
            <w:tcBorders>
              <w:top w:val="nil"/>
              <w:left w:val="nil"/>
              <w:bottom w:val="nil"/>
              <w:right w:val="nil"/>
            </w:tcBorders>
            <w:noWrap/>
            <w:vAlign w:val="center"/>
          </w:tcPr>
          <w:p w14:paraId="35497B2D">
            <w:pPr>
              <w:spacing w:after="0" w:line="240" w:lineRule="auto"/>
              <w:rPr>
                <w:rFonts w:ascii="Times New Roman" w:hAnsi="Times New Roman" w:eastAsia="Times New Roman" w:cs="Times New Roman"/>
                <w:kern w:val="0"/>
                <w:sz w:val="20"/>
                <w:szCs w:val="20"/>
                <w:lang w:val="en-US"/>
                <w14:ligatures w14:val="none"/>
              </w:rPr>
            </w:pPr>
          </w:p>
        </w:tc>
        <w:tc>
          <w:tcPr>
            <w:tcW w:w="1249" w:type="dxa"/>
            <w:tcBorders>
              <w:top w:val="nil"/>
              <w:left w:val="nil"/>
              <w:bottom w:val="nil"/>
              <w:right w:val="nil"/>
            </w:tcBorders>
            <w:noWrap/>
            <w:vAlign w:val="center"/>
          </w:tcPr>
          <w:p w14:paraId="4BA67ED2">
            <w:pPr>
              <w:spacing w:after="0" w:line="240" w:lineRule="auto"/>
              <w:rPr>
                <w:rFonts w:ascii="Times New Roman" w:hAnsi="Times New Roman" w:eastAsia="Times New Roman" w:cs="Times New Roman"/>
                <w:kern w:val="0"/>
                <w:sz w:val="20"/>
                <w:szCs w:val="20"/>
                <w:lang w:val="en-US"/>
                <w14:ligatures w14:val="none"/>
              </w:rPr>
            </w:pPr>
          </w:p>
        </w:tc>
        <w:tc>
          <w:tcPr>
            <w:tcW w:w="1249" w:type="dxa"/>
            <w:tcBorders>
              <w:top w:val="nil"/>
              <w:left w:val="nil"/>
              <w:bottom w:val="nil"/>
              <w:right w:val="nil"/>
            </w:tcBorders>
            <w:noWrap/>
            <w:vAlign w:val="center"/>
          </w:tcPr>
          <w:p w14:paraId="101C05E8">
            <w:pPr>
              <w:spacing w:after="0" w:line="240" w:lineRule="auto"/>
              <w:rPr>
                <w:rFonts w:ascii="Times New Roman" w:hAnsi="Times New Roman" w:eastAsia="Times New Roman" w:cs="Times New Roman"/>
                <w:kern w:val="0"/>
                <w:sz w:val="20"/>
                <w:szCs w:val="20"/>
                <w:lang w:val="en-US"/>
                <w14:ligatures w14:val="none"/>
              </w:rPr>
            </w:pPr>
          </w:p>
        </w:tc>
      </w:tr>
      <w:tr w14:paraId="5FE4480D">
        <w:tblPrEx>
          <w:tblCellMar>
            <w:top w:w="0" w:type="dxa"/>
            <w:left w:w="108" w:type="dxa"/>
            <w:bottom w:w="0" w:type="dxa"/>
            <w:right w:w="108" w:type="dxa"/>
          </w:tblCellMar>
        </w:tblPrEx>
        <w:trPr>
          <w:trHeight w:val="293" w:hRule="atLeast"/>
        </w:trPr>
        <w:tc>
          <w:tcPr>
            <w:tcW w:w="4426" w:type="dxa"/>
            <w:tcBorders>
              <w:top w:val="single" w:color="auto" w:sz="4" w:space="0"/>
              <w:left w:val="nil"/>
              <w:bottom w:val="single" w:color="auto" w:sz="4" w:space="0"/>
              <w:right w:val="nil"/>
            </w:tcBorders>
            <w:noWrap/>
            <w:vAlign w:val="center"/>
          </w:tcPr>
          <w:p w14:paraId="62217965">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Multiple Regression With Controls</w:t>
            </w:r>
          </w:p>
        </w:tc>
        <w:tc>
          <w:tcPr>
            <w:tcW w:w="1569" w:type="dxa"/>
            <w:tcBorders>
              <w:top w:val="single" w:color="auto" w:sz="4" w:space="0"/>
              <w:left w:val="nil"/>
              <w:bottom w:val="single" w:color="auto" w:sz="4" w:space="0"/>
              <w:right w:val="nil"/>
            </w:tcBorders>
            <w:noWrap/>
            <w:vAlign w:val="center"/>
          </w:tcPr>
          <w:p w14:paraId="06CFA989">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c>
          <w:tcPr>
            <w:tcW w:w="1249" w:type="dxa"/>
            <w:tcBorders>
              <w:top w:val="single" w:color="auto" w:sz="4" w:space="0"/>
              <w:left w:val="nil"/>
              <w:bottom w:val="single" w:color="auto" w:sz="4" w:space="0"/>
              <w:right w:val="nil"/>
            </w:tcBorders>
            <w:noWrap/>
            <w:vAlign w:val="center"/>
          </w:tcPr>
          <w:p w14:paraId="38DF6E49">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c>
          <w:tcPr>
            <w:tcW w:w="1249" w:type="dxa"/>
            <w:tcBorders>
              <w:top w:val="single" w:color="auto" w:sz="4" w:space="0"/>
              <w:left w:val="nil"/>
              <w:bottom w:val="single" w:color="auto" w:sz="4" w:space="0"/>
              <w:right w:val="nil"/>
            </w:tcBorders>
            <w:noWrap/>
            <w:vAlign w:val="center"/>
          </w:tcPr>
          <w:p w14:paraId="357B9D95">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r>
      <w:tr w14:paraId="39A0172E">
        <w:tblPrEx>
          <w:tblCellMar>
            <w:top w:w="0" w:type="dxa"/>
            <w:left w:w="108" w:type="dxa"/>
            <w:bottom w:w="0" w:type="dxa"/>
            <w:right w:w="108" w:type="dxa"/>
          </w:tblCellMar>
        </w:tblPrEx>
        <w:trPr>
          <w:trHeight w:val="293" w:hRule="atLeast"/>
        </w:trPr>
        <w:tc>
          <w:tcPr>
            <w:tcW w:w="4426" w:type="dxa"/>
            <w:tcBorders>
              <w:top w:val="nil"/>
              <w:left w:val="nil"/>
              <w:bottom w:val="nil"/>
              <w:right w:val="nil"/>
            </w:tcBorders>
            <w:noWrap/>
            <w:vAlign w:val="center"/>
          </w:tcPr>
          <w:p w14:paraId="325B9CB5">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CPI</w:t>
            </w:r>
          </w:p>
        </w:tc>
        <w:tc>
          <w:tcPr>
            <w:tcW w:w="1569" w:type="dxa"/>
            <w:tcBorders>
              <w:top w:val="nil"/>
              <w:left w:val="nil"/>
              <w:bottom w:val="nil"/>
              <w:right w:val="nil"/>
            </w:tcBorders>
            <w:noWrap/>
            <w:vAlign w:val="center"/>
          </w:tcPr>
          <w:p w14:paraId="66A3D310">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0.0101</w:t>
            </w:r>
          </w:p>
        </w:tc>
        <w:tc>
          <w:tcPr>
            <w:tcW w:w="1249" w:type="dxa"/>
            <w:tcBorders>
              <w:top w:val="nil"/>
              <w:left w:val="nil"/>
              <w:bottom w:val="nil"/>
              <w:right w:val="nil"/>
            </w:tcBorders>
            <w:noWrap/>
            <w:vAlign w:val="center"/>
          </w:tcPr>
          <w:p w14:paraId="0BB775A3">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0.0024</w:t>
            </w:r>
          </w:p>
        </w:tc>
        <w:tc>
          <w:tcPr>
            <w:tcW w:w="1249" w:type="dxa"/>
            <w:tcBorders>
              <w:top w:val="nil"/>
              <w:left w:val="nil"/>
              <w:bottom w:val="nil"/>
              <w:right w:val="nil"/>
            </w:tcBorders>
            <w:noWrap/>
            <w:vAlign w:val="center"/>
          </w:tcPr>
          <w:p w14:paraId="03A5B495">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w:t>
            </w:r>
          </w:p>
        </w:tc>
      </w:tr>
      <w:tr w14:paraId="5E22E313">
        <w:tblPrEx>
          <w:tblCellMar>
            <w:top w:w="0" w:type="dxa"/>
            <w:left w:w="108" w:type="dxa"/>
            <w:bottom w:w="0" w:type="dxa"/>
            <w:right w:w="108" w:type="dxa"/>
          </w:tblCellMar>
        </w:tblPrEx>
        <w:trPr>
          <w:trHeight w:val="293" w:hRule="atLeast"/>
        </w:trPr>
        <w:tc>
          <w:tcPr>
            <w:tcW w:w="4426" w:type="dxa"/>
            <w:tcBorders>
              <w:top w:val="nil"/>
              <w:left w:val="nil"/>
              <w:bottom w:val="nil"/>
              <w:right w:val="nil"/>
            </w:tcBorders>
            <w:noWrap/>
            <w:vAlign w:val="center"/>
          </w:tcPr>
          <w:p w14:paraId="4196E8C1">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log_INC</w:t>
            </w:r>
          </w:p>
        </w:tc>
        <w:tc>
          <w:tcPr>
            <w:tcW w:w="1569" w:type="dxa"/>
            <w:tcBorders>
              <w:top w:val="nil"/>
              <w:left w:val="nil"/>
              <w:bottom w:val="nil"/>
              <w:right w:val="nil"/>
            </w:tcBorders>
            <w:noWrap/>
            <w:vAlign w:val="center"/>
          </w:tcPr>
          <w:p w14:paraId="5FBF33C8">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2.9705</w:t>
            </w:r>
          </w:p>
        </w:tc>
        <w:tc>
          <w:tcPr>
            <w:tcW w:w="1249" w:type="dxa"/>
            <w:tcBorders>
              <w:top w:val="nil"/>
              <w:left w:val="nil"/>
              <w:bottom w:val="nil"/>
              <w:right w:val="nil"/>
            </w:tcBorders>
            <w:noWrap/>
            <w:vAlign w:val="center"/>
          </w:tcPr>
          <w:p w14:paraId="250CDECA">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0.1162</w:t>
            </w:r>
          </w:p>
        </w:tc>
        <w:tc>
          <w:tcPr>
            <w:tcW w:w="1249" w:type="dxa"/>
            <w:tcBorders>
              <w:top w:val="nil"/>
              <w:left w:val="nil"/>
              <w:bottom w:val="nil"/>
              <w:right w:val="nil"/>
            </w:tcBorders>
            <w:noWrap/>
            <w:vAlign w:val="center"/>
          </w:tcPr>
          <w:p w14:paraId="65EF325F">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w:t>
            </w:r>
          </w:p>
        </w:tc>
      </w:tr>
      <w:tr w14:paraId="22DFB8F9">
        <w:tblPrEx>
          <w:tblCellMar>
            <w:top w:w="0" w:type="dxa"/>
            <w:left w:w="108" w:type="dxa"/>
            <w:bottom w:w="0" w:type="dxa"/>
            <w:right w:w="108" w:type="dxa"/>
          </w:tblCellMar>
        </w:tblPrEx>
        <w:trPr>
          <w:trHeight w:val="293" w:hRule="atLeast"/>
        </w:trPr>
        <w:tc>
          <w:tcPr>
            <w:tcW w:w="4426" w:type="dxa"/>
            <w:tcBorders>
              <w:top w:val="nil"/>
              <w:left w:val="nil"/>
              <w:bottom w:val="nil"/>
              <w:right w:val="nil"/>
            </w:tcBorders>
            <w:noWrap/>
            <w:vAlign w:val="center"/>
          </w:tcPr>
          <w:p w14:paraId="48FCD81F">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UR</w:t>
            </w:r>
          </w:p>
        </w:tc>
        <w:tc>
          <w:tcPr>
            <w:tcW w:w="1569" w:type="dxa"/>
            <w:tcBorders>
              <w:top w:val="nil"/>
              <w:left w:val="nil"/>
              <w:bottom w:val="nil"/>
              <w:right w:val="nil"/>
            </w:tcBorders>
            <w:noWrap/>
            <w:vAlign w:val="center"/>
          </w:tcPr>
          <w:p w14:paraId="5B869C70">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0.0022</w:t>
            </w:r>
          </w:p>
        </w:tc>
        <w:tc>
          <w:tcPr>
            <w:tcW w:w="1249" w:type="dxa"/>
            <w:tcBorders>
              <w:top w:val="nil"/>
              <w:left w:val="nil"/>
              <w:bottom w:val="nil"/>
              <w:right w:val="nil"/>
            </w:tcBorders>
            <w:noWrap/>
            <w:vAlign w:val="center"/>
          </w:tcPr>
          <w:p w14:paraId="30349B2F">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0.0062</w:t>
            </w:r>
          </w:p>
        </w:tc>
        <w:tc>
          <w:tcPr>
            <w:tcW w:w="1249" w:type="dxa"/>
            <w:tcBorders>
              <w:top w:val="nil"/>
              <w:left w:val="nil"/>
              <w:bottom w:val="nil"/>
              <w:right w:val="nil"/>
            </w:tcBorders>
            <w:noWrap/>
            <w:vAlign w:val="center"/>
          </w:tcPr>
          <w:p w14:paraId="6315C84D">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0.725</w:t>
            </w:r>
          </w:p>
        </w:tc>
      </w:tr>
      <w:tr w14:paraId="79CAE791">
        <w:tblPrEx>
          <w:tblCellMar>
            <w:top w:w="0" w:type="dxa"/>
            <w:left w:w="108" w:type="dxa"/>
            <w:bottom w:w="0" w:type="dxa"/>
            <w:right w:w="108" w:type="dxa"/>
          </w:tblCellMar>
        </w:tblPrEx>
        <w:trPr>
          <w:trHeight w:val="293" w:hRule="atLeast"/>
        </w:trPr>
        <w:tc>
          <w:tcPr>
            <w:tcW w:w="4426" w:type="dxa"/>
            <w:tcBorders>
              <w:top w:val="nil"/>
              <w:left w:val="nil"/>
              <w:bottom w:val="single" w:color="auto" w:sz="4" w:space="0"/>
              <w:right w:val="nil"/>
            </w:tcBorders>
            <w:noWrap/>
            <w:vAlign w:val="center"/>
          </w:tcPr>
          <w:p w14:paraId="2329527D">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Model Fit:</w:t>
            </w:r>
          </w:p>
        </w:tc>
        <w:tc>
          <w:tcPr>
            <w:tcW w:w="1569" w:type="dxa"/>
            <w:tcBorders>
              <w:top w:val="nil"/>
              <w:left w:val="nil"/>
              <w:bottom w:val="single" w:color="auto" w:sz="4" w:space="0"/>
              <w:right w:val="nil"/>
            </w:tcBorders>
            <w:noWrap/>
            <w:vAlign w:val="center"/>
          </w:tcPr>
          <w:p w14:paraId="7CE0B540">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c>
          <w:tcPr>
            <w:tcW w:w="1249" w:type="dxa"/>
            <w:tcBorders>
              <w:top w:val="nil"/>
              <w:left w:val="nil"/>
              <w:bottom w:val="single" w:color="auto" w:sz="4" w:space="0"/>
              <w:right w:val="nil"/>
            </w:tcBorders>
            <w:noWrap/>
            <w:vAlign w:val="center"/>
          </w:tcPr>
          <w:p w14:paraId="6067F6E4">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c>
          <w:tcPr>
            <w:tcW w:w="1249" w:type="dxa"/>
            <w:tcBorders>
              <w:top w:val="nil"/>
              <w:left w:val="nil"/>
              <w:bottom w:val="single" w:color="auto" w:sz="4" w:space="0"/>
              <w:right w:val="nil"/>
            </w:tcBorders>
            <w:noWrap/>
            <w:vAlign w:val="center"/>
          </w:tcPr>
          <w:p w14:paraId="3D24724E">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r>
      <w:tr w14:paraId="2161012B">
        <w:tblPrEx>
          <w:tblCellMar>
            <w:top w:w="0" w:type="dxa"/>
            <w:left w:w="108" w:type="dxa"/>
            <w:bottom w:w="0" w:type="dxa"/>
            <w:right w:w="108" w:type="dxa"/>
          </w:tblCellMar>
        </w:tblPrEx>
        <w:trPr>
          <w:trHeight w:val="293" w:hRule="atLeast"/>
        </w:trPr>
        <w:tc>
          <w:tcPr>
            <w:tcW w:w="4426" w:type="dxa"/>
            <w:tcBorders>
              <w:top w:val="nil"/>
              <w:left w:val="nil"/>
              <w:bottom w:val="nil"/>
              <w:right w:val="nil"/>
            </w:tcBorders>
            <w:noWrap/>
            <w:vAlign w:val="center"/>
          </w:tcPr>
          <w:p w14:paraId="7923F06A">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R²</w:t>
            </w:r>
          </w:p>
        </w:tc>
        <w:tc>
          <w:tcPr>
            <w:tcW w:w="1569" w:type="dxa"/>
            <w:tcBorders>
              <w:top w:val="nil"/>
              <w:left w:val="nil"/>
              <w:bottom w:val="nil"/>
              <w:right w:val="nil"/>
            </w:tcBorders>
            <w:noWrap/>
            <w:vAlign w:val="center"/>
          </w:tcPr>
          <w:p w14:paraId="2D69FFB9">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0.897</w:t>
            </w:r>
          </w:p>
        </w:tc>
        <w:tc>
          <w:tcPr>
            <w:tcW w:w="1249" w:type="dxa"/>
            <w:tcBorders>
              <w:top w:val="nil"/>
              <w:left w:val="nil"/>
              <w:bottom w:val="nil"/>
              <w:right w:val="nil"/>
            </w:tcBorders>
            <w:noWrap/>
            <w:vAlign w:val="center"/>
          </w:tcPr>
          <w:p w14:paraId="78494580">
            <w:pPr>
              <w:spacing w:after="0" w:line="240" w:lineRule="auto"/>
              <w:jc w:val="right"/>
              <w:rPr>
                <w:rFonts w:ascii="Times New Roman" w:hAnsi="Times New Roman" w:eastAsia="Times New Roman" w:cs="Times New Roman"/>
                <w:color w:val="000000"/>
                <w:kern w:val="0"/>
                <w:sz w:val="22"/>
                <w:szCs w:val="22"/>
                <w:lang w:val="en-US"/>
                <w14:ligatures w14:val="none"/>
              </w:rPr>
            </w:pPr>
          </w:p>
        </w:tc>
        <w:tc>
          <w:tcPr>
            <w:tcW w:w="1249" w:type="dxa"/>
            <w:tcBorders>
              <w:top w:val="nil"/>
              <w:left w:val="nil"/>
              <w:bottom w:val="nil"/>
              <w:right w:val="nil"/>
            </w:tcBorders>
            <w:noWrap/>
            <w:vAlign w:val="center"/>
          </w:tcPr>
          <w:p w14:paraId="284F89F8">
            <w:pPr>
              <w:spacing w:after="0" w:line="240" w:lineRule="auto"/>
              <w:rPr>
                <w:rFonts w:ascii="Times New Roman" w:hAnsi="Times New Roman" w:eastAsia="Times New Roman" w:cs="Times New Roman"/>
                <w:kern w:val="0"/>
                <w:sz w:val="20"/>
                <w:szCs w:val="20"/>
                <w:lang w:val="en-US"/>
                <w14:ligatures w14:val="none"/>
              </w:rPr>
            </w:pPr>
          </w:p>
        </w:tc>
      </w:tr>
      <w:tr w14:paraId="19B50383">
        <w:tblPrEx>
          <w:tblCellMar>
            <w:top w:w="0" w:type="dxa"/>
            <w:left w:w="108" w:type="dxa"/>
            <w:bottom w:w="0" w:type="dxa"/>
            <w:right w:w="108" w:type="dxa"/>
          </w:tblCellMar>
        </w:tblPrEx>
        <w:trPr>
          <w:trHeight w:val="293" w:hRule="atLeast"/>
        </w:trPr>
        <w:tc>
          <w:tcPr>
            <w:tcW w:w="4426" w:type="dxa"/>
            <w:tcBorders>
              <w:top w:val="nil"/>
              <w:left w:val="nil"/>
              <w:bottom w:val="nil"/>
              <w:right w:val="nil"/>
            </w:tcBorders>
            <w:noWrap/>
            <w:vAlign w:val="center"/>
          </w:tcPr>
          <w:p w14:paraId="1809151F">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Adjusted R²</w:t>
            </w:r>
          </w:p>
        </w:tc>
        <w:tc>
          <w:tcPr>
            <w:tcW w:w="1569" w:type="dxa"/>
            <w:tcBorders>
              <w:top w:val="nil"/>
              <w:left w:val="nil"/>
              <w:bottom w:val="nil"/>
              <w:right w:val="nil"/>
            </w:tcBorders>
            <w:noWrap/>
            <w:vAlign w:val="center"/>
          </w:tcPr>
          <w:p w14:paraId="180934E9">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0.894</w:t>
            </w:r>
          </w:p>
        </w:tc>
        <w:tc>
          <w:tcPr>
            <w:tcW w:w="1249" w:type="dxa"/>
            <w:tcBorders>
              <w:top w:val="nil"/>
              <w:left w:val="nil"/>
              <w:bottom w:val="nil"/>
              <w:right w:val="nil"/>
            </w:tcBorders>
            <w:noWrap/>
            <w:vAlign w:val="center"/>
          </w:tcPr>
          <w:p w14:paraId="055E2CC6">
            <w:pPr>
              <w:spacing w:after="0" w:line="240" w:lineRule="auto"/>
              <w:jc w:val="right"/>
              <w:rPr>
                <w:rFonts w:ascii="Times New Roman" w:hAnsi="Times New Roman" w:eastAsia="Times New Roman" w:cs="Times New Roman"/>
                <w:color w:val="000000"/>
                <w:kern w:val="0"/>
                <w:sz w:val="22"/>
                <w:szCs w:val="22"/>
                <w:lang w:val="en-US"/>
                <w14:ligatures w14:val="none"/>
              </w:rPr>
            </w:pPr>
          </w:p>
        </w:tc>
        <w:tc>
          <w:tcPr>
            <w:tcW w:w="1249" w:type="dxa"/>
            <w:tcBorders>
              <w:top w:val="nil"/>
              <w:left w:val="nil"/>
              <w:bottom w:val="nil"/>
              <w:right w:val="nil"/>
            </w:tcBorders>
            <w:noWrap/>
            <w:vAlign w:val="center"/>
          </w:tcPr>
          <w:p w14:paraId="5328F70B">
            <w:pPr>
              <w:spacing w:after="0" w:line="240" w:lineRule="auto"/>
              <w:rPr>
                <w:rFonts w:ascii="Times New Roman" w:hAnsi="Times New Roman" w:eastAsia="Times New Roman" w:cs="Times New Roman"/>
                <w:kern w:val="0"/>
                <w:sz w:val="20"/>
                <w:szCs w:val="20"/>
                <w:lang w:val="en-US"/>
                <w14:ligatures w14:val="none"/>
              </w:rPr>
            </w:pPr>
          </w:p>
        </w:tc>
      </w:tr>
      <w:tr w14:paraId="434206BC">
        <w:tblPrEx>
          <w:tblCellMar>
            <w:top w:w="0" w:type="dxa"/>
            <w:left w:w="108" w:type="dxa"/>
            <w:bottom w:w="0" w:type="dxa"/>
            <w:right w:w="108" w:type="dxa"/>
          </w:tblCellMar>
        </w:tblPrEx>
        <w:trPr>
          <w:trHeight w:val="293" w:hRule="atLeast"/>
        </w:trPr>
        <w:tc>
          <w:tcPr>
            <w:tcW w:w="4426" w:type="dxa"/>
            <w:tcBorders>
              <w:top w:val="nil"/>
              <w:left w:val="nil"/>
              <w:bottom w:val="single" w:color="auto" w:sz="4" w:space="0"/>
              <w:right w:val="nil"/>
            </w:tcBorders>
            <w:noWrap/>
            <w:vAlign w:val="center"/>
          </w:tcPr>
          <w:p w14:paraId="11C75500">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Observations</w:t>
            </w:r>
          </w:p>
        </w:tc>
        <w:tc>
          <w:tcPr>
            <w:tcW w:w="1569" w:type="dxa"/>
            <w:tcBorders>
              <w:top w:val="nil"/>
              <w:left w:val="nil"/>
              <w:bottom w:val="single" w:color="auto" w:sz="4" w:space="0"/>
              <w:right w:val="nil"/>
            </w:tcBorders>
            <w:noWrap/>
            <w:vAlign w:val="center"/>
          </w:tcPr>
          <w:p w14:paraId="6F4D23D8">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91</w:t>
            </w:r>
          </w:p>
        </w:tc>
        <w:tc>
          <w:tcPr>
            <w:tcW w:w="1249" w:type="dxa"/>
            <w:tcBorders>
              <w:top w:val="nil"/>
              <w:left w:val="nil"/>
              <w:bottom w:val="single" w:color="auto" w:sz="4" w:space="0"/>
              <w:right w:val="nil"/>
            </w:tcBorders>
            <w:noWrap/>
            <w:vAlign w:val="center"/>
          </w:tcPr>
          <w:p w14:paraId="51A58FCF">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c>
          <w:tcPr>
            <w:tcW w:w="1249" w:type="dxa"/>
            <w:tcBorders>
              <w:top w:val="nil"/>
              <w:left w:val="nil"/>
              <w:bottom w:val="single" w:color="auto" w:sz="4" w:space="0"/>
              <w:right w:val="nil"/>
            </w:tcBorders>
            <w:noWrap/>
            <w:vAlign w:val="center"/>
          </w:tcPr>
          <w:p w14:paraId="4827536C">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r>
    </w:tbl>
    <w:p w14:paraId="188C8A6C">
      <w:pPr>
        <w:spacing w:line="360" w:lineRule="auto"/>
        <w:ind w:left="720"/>
        <w:rPr>
          <w:rFonts w:ascii="Times New Roman" w:hAnsi="Times New Roman" w:cs="Times New Roman"/>
          <w:sz w:val="20"/>
          <w:szCs w:val="20"/>
        </w:rPr>
      </w:pPr>
      <w:r>
        <w:rPr>
          <w:rStyle w:val="20"/>
          <w:rFonts w:ascii="Times New Roman" w:hAnsi="Times New Roman" w:cs="Times New Roman"/>
          <w:sz w:val="20"/>
          <w:szCs w:val="20"/>
        </w:rPr>
        <w:t>Note.</w:t>
      </w:r>
      <w:r>
        <w:rPr>
          <w:rFonts w:ascii="Times New Roman" w:hAnsi="Times New Roman" w:cs="Times New Roman"/>
          <w:sz w:val="20"/>
          <w:szCs w:val="20"/>
        </w:rPr>
        <w:t xml:space="preserve"> All estimates are from OLS regressions using log(GE) as the dependent variable.</w:t>
      </w:r>
    </w:p>
    <w:p w14:paraId="6F01A11C">
      <w:pPr>
        <w:pStyle w:val="18"/>
        <w:spacing w:line="360" w:lineRule="auto"/>
        <w:jc w:val="both"/>
      </w:pPr>
      <w:r>
        <w:t>The baseline model demonstrates that CPI only does not have any significant impact on log (GE) because the coefficient is very small (0.0055) and not significant (p = 0.432). The model suggests almost no explanation of the difference in grocery expenditure (R 2 = 0.007).</w:t>
      </w:r>
    </w:p>
    <w:p w14:paraId="78D929AA">
      <w:pPr>
        <w:pStyle w:val="18"/>
        <w:spacing w:line="360" w:lineRule="auto"/>
        <w:jc w:val="both"/>
      </w:pPr>
      <w:r>
        <w:t>On addition of income and unemployment the outcomes are varied. CPI is positive and very significant (0.0101, p = 0.000) which implies that inflation correlates with an increase in the nominal expenditure on grocery after the effects of income are kept constant. The effect of income (log INC) is large with a high significance indicating that income is the primary determinant of the expenditure on groceries. The unemployment is meaningless. The model fit is much better (R 2 = 0.897), which indicates that the joint variables clarify almost all the variation in grocery expenditure.</w:t>
      </w:r>
    </w:p>
    <w:p w14:paraId="4708724B">
      <w:pPr>
        <w:pStyle w:val="3"/>
      </w:pPr>
      <w:bookmarkStart w:id="21" w:name="_Toc218351984"/>
      <w:r>
        <w:t>6.3 Diagnostic Test Results</w:t>
      </w:r>
      <w:bookmarkEnd w:id="21"/>
    </w:p>
    <w:p w14:paraId="21F91D22">
      <w:pPr>
        <w:spacing w:line="360" w:lineRule="auto"/>
        <w:jc w:val="center"/>
        <w:rPr>
          <w:rFonts w:ascii="Times New Roman" w:hAnsi="Times New Roman" w:cs="Times New Roman"/>
          <w:b/>
          <w:bCs/>
        </w:rPr>
      </w:pPr>
      <w:r>
        <w:rPr>
          <w:rFonts w:ascii="Times New Roman" w:hAnsi="Times New Roman" w:cs="Times New Roman"/>
          <w:b/>
          <w:bCs/>
          <w:sz w:val="20"/>
          <w:szCs w:val="20"/>
        </w:rPr>
        <w:t>Table 4: Augmented Dickey–Fuller (ADF) Unit Root Test Results</w:t>
      </w:r>
    </w:p>
    <w:tbl>
      <w:tblPr>
        <w:tblStyle w:val="12"/>
        <w:tblW w:w="8163" w:type="dxa"/>
        <w:jc w:val="center"/>
        <w:tblLayout w:type="autofit"/>
        <w:tblCellMar>
          <w:top w:w="0" w:type="dxa"/>
          <w:left w:w="108" w:type="dxa"/>
          <w:bottom w:w="0" w:type="dxa"/>
          <w:right w:w="108" w:type="dxa"/>
        </w:tblCellMar>
      </w:tblPr>
      <w:tblGrid>
        <w:gridCol w:w="1387"/>
        <w:gridCol w:w="1358"/>
        <w:gridCol w:w="1353"/>
        <w:gridCol w:w="1355"/>
        <w:gridCol w:w="1355"/>
        <w:gridCol w:w="1355"/>
      </w:tblGrid>
      <w:tr w14:paraId="1B7C71E7">
        <w:tblPrEx>
          <w:tblCellMar>
            <w:top w:w="0" w:type="dxa"/>
            <w:left w:w="108" w:type="dxa"/>
            <w:bottom w:w="0" w:type="dxa"/>
            <w:right w:w="108" w:type="dxa"/>
          </w:tblCellMar>
        </w:tblPrEx>
        <w:trPr>
          <w:trHeight w:val="938" w:hRule="atLeast"/>
          <w:jc w:val="center"/>
        </w:trPr>
        <w:tc>
          <w:tcPr>
            <w:tcW w:w="1387" w:type="dxa"/>
            <w:tcBorders>
              <w:top w:val="single" w:color="auto" w:sz="4" w:space="0"/>
              <w:left w:val="nil"/>
              <w:bottom w:val="single" w:color="auto" w:sz="4" w:space="0"/>
              <w:right w:val="nil"/>
            </w:tcBorders>
            <w:vAlign w:val="center"/>
          </w:tcPr>
          <w:p w14:paraId="7D7286F1">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Variable</w:t>
            </w:r>
          </w:p>
        </w:tc>
        <w:tc>
          <w:tcPr>
            <w:tcW w:w="1358" w:type="dxa"/>
            <w:tcBorders>
              <w:top w:val="single" w:color="auto" w:sz="4" w:space="0"/>
              <w:left w:val="nil"/>
              <w:bottom w:val="single" w:color="auto" w:sz="4" w:space="0"/>
              <w:right w:val="nil"/>
            </w:tcBorders>
            <w:vAlign w:val="center"/>
          </w:tcPr>
          <w:p w14:paraId="4799F4F5">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Test Statistic</w:t>
            </w:r>
          </w:p>
        </w:tc>
        <w:tc>
          <w:tcPr>
            <w:tcW w:w="1353" w:type="dxa"/>
            <w:tcBorders>
              <w:top w:val="single" w:color="auto" w:sz="4" w:space="0"/>
              <w:left w:val="nil"/>
              <w:bottom w:val="single" w:color="auto" w:sz="4" w:space="0"/>
              <w:right w:val="nil"/>
            </w:tcBorders>
            <w:vAlign w:val="center"/>
          </w:tcPr>
          <w:p w14:paraId="7EE56AA9">
            <w:pPr>
              <w:spacing w:after="0" w:line="240" w:lineRule="auto"/>
              <w:jc w:val="center"/>
              <w:rPr>
                <w:rFonts w:ascii="Times New Roman" w:hAnsi="Times New Roman" w:eastAsia="Times New Roman" w:cs="Times New Roman"/>
                <w:b/>
                <w:bCs/>
                <w:i/>
                <w:iCs/>
                <w:color w:val="000000"/>
                <w:kern w:val="0"/>
                <w:sz w:val="22"/>
                <w:szCs w:val="22"/>
                <w:lang w:val="en-US"/>
                <w14:ligatures w14:val="none"/>
              </w:rPr>
            </w:pPr>
            <w:r>
              <w:rPr>
                <w:rFonts w:ascii="Times New Roman" w:hAnsi="Times New Roman" w:eastAsia="Times New Roman" w:cs="Times New Roman"/>
                <w:b/>
                <w:bCs/>
                <w:i/>
                <w:iCs/>
                <w:color w:val="000000"/>
                <w:kern w:val="0"/>
                <w:sz w:val="22"/>
                <w:szCs w:val="22"/>
                <w:lang w:val="en-US"/>
                <w14:ligatures w14:val="none"/>
              </w:rPr>
              <w:t>p</w:t>
            </w:r>
            <w:r>
              <w:rPr>
                <w:rFonts w:ascii="Times New Roman" w:hAnsi="Times New Roman" w:eastAsia="Times New Roman" w:cs="Times New Roman"/>
                <w:b/>
                <w:bCs/>
                <w:color w:val="000000"/>
                <w:kern w:val="0"/>
                <w:sz w:val="22"/>
                <w:szCs w:val="22"/>
                <w:lang w:val="en-US"/>
                <w14:ligatures w14:val="none"/>
              </w:rPr>
              <w:t>-value</w:t>
            </w:r>
          </w:p>
        </w:tc>
        <w:tc>
          <w:tcPr>
            <w:tcW w:w="1355" w:type="dxa"/>
            <w:tcBorders>
              <w:top w:val="single" w:color="auto" w:sz="4" w:space="0"/>
              <w:left w:val="nil"/>
              <w:bottom w:val="single" w:color="auto" w:sz="4" w:space="0"/>
              <w:right w:val="nil"/>
            </w:tcBorders>
            <w:vAlign w:val="center"/>
          </w:tcPr>
          <w:p w14:paraId="29D8706C">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Critical Value (1%)</w:t>
            </w:r>
          </w:p>
        </w:tc>
        <w:tc>
          <w:tcPr>
            <w:tcW w:w="1355" w:type="dxa"/>
            <w:tcBorders>
              <w:top w:val="single" w:color="auto" w:sz="4" w:space="0"/>
              <w:left w:val="nil"/>
              <w:bottom w:val="single" w:color="auto" w:sz="4" w:space="0"/>
              <w:right w:val="nil"/>
            </w:tcBorders>
            <w:vAlign w:val="center"/>
          </w:tcPr>
          <w:p w14:paraId="5701E80C">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Critical Value (5%)</w:t>
            </w:r>
          </w:p>
        </w:tc>
        <w:tc>
          <w:tcPr>
            <w:tcW w:w="1355" w:type="dxa"/>
            <w:tcBorders>
              <w:top w:val="single" w:color="auto" w:sz="4" w:space="0"/>
              <w:left w:val="nil"/>
              <w:bottom w:val="single" w:color="auto" w:sz="4" w:space="0"/>
              <w:right w:val="nil"/>
            </w:tcBorders>
            <w:vAlign w:val="center"/>
          </w:tcPr>
          <w:p w14:paraId="68EC3683">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Critical Value (10%)</w:t>
            </w:r>
          </w:p>
        </w:tc>
      </w:tr>
      <w:tr w14:paraId="3CD9AB65">
        <w:tblPrEx>
          <w:tblCellMar>
            <w:top w:w="0" w:type="dxa"/>
            <w:left w:w="108" w:type="dxa"/>
            <w:bottom w:w="0" w:type="dxa"/>
            <w:right w:w="108" w:type="dxa"/>
          </w:tblCellMar>
        </w:tblPrEx>
        <w:trPr>
          <w:trHeight w:val="312" w:hRule="atLeast"/>
          <w:jc w:val="center"/>
        </w:trPr>
        <w:tc>
          <w:tcPr>
            <w:tcW w:w="1387" w:type="dxa"/>
            <w:tcBorders>
              <w:top w:val="nil"/>
              <w:left w:val="nil"/>
              <w:bottom w:val="nil"/>
              <w:right w:val="nil"/>
            </w:tcBorders>
            <w:vAlign w:val="center"/>
          </w:tcPr>
          <w:p w14:paraId="5C73B9B9">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log_GE</w:t>
            </w:r>
          </w:p>
        </w:tc>
        <w:tc>
          <w:tcPr>
            <w:tcW w:w="1358" w:type="dxa"/>
            <w:tcBorders>
              <w:top w:val="nil"/>
              <w:left w:val="nil"/>
              <w:bottom w:val="nil"/>
              <w:right w:val="nil"/>
            </w:tcBorders>
            <w:vAlign w:val="center"/>
          </w:tcPr>
          <w:p w14:paraId="1E646482">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0.5067</w:t>
            </w:r>
          </w:p>
        </w:tc>
        <w:tc>
          <w:tcPr>
            <w:tcW w:w="1353" w:type="dxa"/>
            <w:tcBorders>
              <w:top w:val="nil"/>
              <w:left w:val="nil"/>
              <w:bottom w:val="nil"/>
              <w:right w:val="nil"/>
            </w:tcBorders>
            <w:vAlign w:val="center"/>
          </w:tcPr>
          <w:p w14:paraId="380AF9F3">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0.9851</w:t>
            </w:r>
          </w:p>
        </w:tc>
        <w:tc>
          <w:tcPr>
            <w:tcW w:w="1355" w:type="dxa"/>
            <w:tcBorders>
              <w:top w:val="nil"/>
              <w:left w:val="nil"/>
              <w:bottom w:val="nil"/>
              <w:right w:val="nil"/>
            </w:tcBorders>
            <w:vAlign w:val="center"/>
          </w:tcPr>
          <w:p w14:paraId="173EB376">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–3.5069</w:t>
            </w:r>
          </w:p>
        </w:tc>
        <w:tc>
          <w:tcPr>
            <w:tcW w:w="1355" w:type="dxa"/>
            <w:tcBorders>
              <w:top w:val="nil"/>
              <w:left w:val="nil"/>
              <w:bottom w:val="nil"/>
              <w:right w:val="nil"/>
            </w:tcBorders>
            <w:vAlign w:val="center"/>
          </w:tcPr>
          <w:p w14:paraId="716F817B">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–2.8950</w:t>
            </w:r>
          </w:p>
        </w:tc>
        <w:tc>
          <w:tcPr>
            <w:tcW w:w="1355" w:type="dxa"/>
            <w:tcBorders>
              <w:top w:val="nil"/>
              <w:left w:val="nil"/>
              <w:bottom w:val="nil"/>
              <w:right w:val="nil"/>
            </w:tcBorders>
            <w:vAlign w:val="center"/>
          </w:tcPr>
          <w:p w14:paraId="6F630BE9">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–2.5846</w:t>
            </w:r>
          </w:p>
        </w:tc>
      </w:tr>
      <w:tr w14:paraId="4F7795BE">
        <w:tblPrEx>
          <w:tblCellMar>
            <w:top w:w="0" w:type="dxa"/>
            <w:left w:w="108" w:type="dxa"/>
            <w:bottom w:w="0" w:type="dxa"/>
            <w:right w:w="108" w:type="dxa"/>
          </w:tblCellMar>
        </w:tblPrEx>
        <w:trPr>
          <w:trHeight w:val="312" w:hRule="atLeast"/>
          <w:jc w:val="center"/>
        </w:trPr>
        <w:tc>
          <w:tcPr>
            <w:tcW w:w="1387" w:type="dxa"/>
            <w:tcBorders>
              <w:top w:val="nil"/>
              <w:left w:val="nil"/>
              <w:bottom w:val="nil"/>
              <w:right w:val="nil"/>
            </w:tcBorders>
            <w:vAlign w:val="center"/>
          </w:tcPr>
          <w:p w14:paraId="31B660CE">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log_INC</w:t>
            </w:r>
          </w:p>
        </w:tc>
        <w:tc>
          <w:tcPr>
            <w:tcW w:w="1358" w:type="dxa"/>
            <w:tcBorders>
              <w:top w:val="nil"/>
              <w:left w:val="nil"/>
              <w:bottom w:val="nil"/>
              <w:right w:val="nil"/>
            </w:tcBorders>
            <w:vAlign w:val="center"/>
          </w:tcPr>
          <w:p w14:paraId="60F0141D">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–1.6975</w:t>
            </w:r>
          </w:p>
        </w:tc>
        <w:tc>
          <w:tcPr>
            <w:tcW w:w="1353" w:type="dxa"/>
            <w:tcBorders>
              <w:top w:val="nil"/>
              <w:left w:val="nil"/>
              <w:bottom w:val="nil"/>
              <w:right w:val="nil"/>
            </w:tcBorders>
            <w:vAlign w:val="center"/>
          </w:tcPr>
          <w:p w14:paraId="6474D093">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0.4324</w:t>
            </w:r>
          </w:p>
        </w:tc>
        <w:tc>
          <w:tcPr>
            <w:tcW w:w="1355" w:type="dxa"/>
            <w:tcBorders>
              <w:top w:val="nil"/>
              <w:left w:val="nil"/>
              <w:bottom w:val="nil"/>
              <w:right w:val="nil"/>
            </w:tcBorders>
            <w:vAlign w:val="center"/>
          </w:tcPr>
          <w:p w14:paraId="32BA3EBB">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–3.5088</w:t>
            </w:r>
          </w:p>
        </w:tc>
        <w:tc>
          <w:tcPr>
            <w:tcW w:w="1355" w:type="dxa"/>
            <w:tcBorders>
              <w:top w:val="nil"/>
              <w:left w:val="nil"/>
              <w:bottom w:val="nil"/>
              <w:right w:val="nil"/>
            </w:tcBorders>
            <w:vAlign w:val="center"/>
          </w:tcPr>
          <w:p w14:paraId="37F6290B">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–2.8958</w:t>
            </w:r>
          </w:p>
        </w:tc>
        <w:tc>
          <w:tcPr>
            <w:tcW w:w="1355" w:type="dxa"/>
            <w:tcBorders>
              <w:top w:val="nil"/>
              <w:left w:val="nil"/>
              <w:bottom w:val="nil"/>
              <w:right w:val="nil"/>
            </w:tcBorders>
            <w:vAlign w:val="center"/>
          </w:tcPr>
          <w:p w14:paraId="57FBAD0B">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–2.5850</w:t>
            </w:r>
          </w:p>
        </w:tc>
      </w:tr>
      <w:tr w14:paraId="0DEE3D2A">
        <w:tblPrEx>
          <w:tblCellMar>
            <w:top w:w="0" w:type="dxa"/>
            <w:left w:w="108" w:type="dxa"/>
            <w:bottom w:w="0" w:type="dxa"/>
            <w:right w:w="108" w:type="dxa"/>
          </w:tblCellMar>
        </w:tblPrEx>
        <w:trPr>
          <w:trHeight w:val="312" w:hRule="atLeast"/>
          <w:jc w:val="center"/>
        </w:trPr>
        <w:tc>
          <w:tcPr>
            <w:tcW w:w="1387" w:type="dxa"/>
            <w:tcBorders>
              <w:top w:val="nil"/>
              <w:left w:val="nil"/>
              <w:bottom w:val="nil"/>
              <w:right w:val="nil"/>
            </w:tcBorders>
            <w:vAlign w:val="center"/>
          </w:tcPr>
          <w:p w14:paraId="616956C9">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UR</w:t>
            </w:r>
          </w:p>
        </w:tc>
        <w:tc>
          <w:tcPr>
            <w:tcW w:w="1358" w:type="dxa"/>
            <w:tcBorders>
              <w:top w:val="nil"/>
              <w:left w:val="nil"/>
              <w:bottom w:val="nil"/>
              <w:right w:val="nil"/>
            </w:tcBorders>
            <w:vAlign w:val="center"/>
          </w:tcPr>
          <w:p w14:paraId="2E8EF880">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–0.8445</w:t>
            </w:r>
          </w:p>
        </w:tc>
        <w:tc>
          <w:tcPr>
            <w:tcW w:w="1353" w:type="dxa"/>
            <w:tcBorders>
              <w:top w:val="nil"/>
              <w:left w:val="nil"/>
              <w:bottom w:val="nil"/>
              <w:right w:val="nil"/>
            </w:tcBorders>
            <w:vAlign w:val="center"/>
          </w:tcPr>
          <w:p w14:paraId="5B3961A7">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0.8057</w:t>
            </w:r>
          </w:p>
        </w:tc>
        <w:tc>
          <w:tcPr>
            <w:tcW w:w="1355" w:type="dxa"/>
            <w:tcBorders>
              <w:top w:val="nil"/>
              <w:left w:val="nil"/>
              <w:bottom w:val="nil"/>
              <w:right w:val="nil"/>
            </w:tcBorders>
            <w:vAlign w:val="center"/>
          </w:tcPr>
          <w:p w14:paraId="25AA84EA">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–3.5061</w:t>
            </w:r>
          </w:p>
        </w:tc>
        <w:tc>
          <w:tcPr>
            <w:tcW w:w="1355" w:type="dxa"/>
            <w:tcBorders>
              <w:top w:val="nil"/>
              <w:left w:val="nil"/>
              <w:bottom w:val="nil"/>
              <w:right w:val="nil"/>
            </w:tcBorders>
            <w:vAlign w:val="center"/>
          </w:tcPr>
          <w:p w14:paraId="653972B4">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–2.8946</w:t>
            </w:r>
          </w:p>
        </w:tc>
        <w:tc>
          <w:tcPr>
            <w:tcW w:w="1355" w:type="dxa"/>
            <w:tcBorders>
              <w:top w:val="nil"/>
              <w:left w:val="nil"/>
              <w:bottom w:val="nil"/>
              <w:right w:val="nil"/>
            </w:tcBorders>
            <w:vAlign w:val="center"/>
          </w:tcPr>
          <w:p w14:paraId="64378268">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–2.5844</w:t>
            </w:r>
          </w:p>
        </w:tc>
      </w:tr>
      <w:tr w14:paraId="4AAF3D4E">
        <w:tblPrEx>
          <w:tblCellMar>
            <w:top w:w="0" w:type="dxa"/>
            <w:left w:w="108" w:type="dxa"/>
            <w:bottom w:w="0" w:type="dxa"/>
            <w:right w:w="108" w:type="dxa"/>
          </w:tblCellMar>
        </w:tblPrEx>
        <w:trPr>
          <w:trHeight w:val="312" w:hRule="atLeast"/>
          <w:jc w:val="center"/>
        </w:trPr>
        <w:tc>
          <w:tcPr>
            <w:tcW w:w="1387" w:type="dxa"/>
            <w:tcBorders>
              <w:top w:val="nil"/>
              <w:left w:val="nil"/>
              <w:bottom w:val="single" w:color="auto" w:sz="4" w:space="0"/>
              <w:right w:val="nil"/>
            </w:tcBorders>
            <w:vAlign w:val="center"/>
          </w:tcPr>
          <w:p w14:paraId="051D0AE3">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CPI</w:t>
            </w:r>
          </w:p>
        </w:tc>
        <w:tc>
          <w:tcPr>
            <w:tcW w:w="1358" w:type="dxa"/>
            <w:tcBorders>
              <w:top w:val="nil"/>
              <w:left w:val="nil"/>
              <w:bottom w:val="single" w:color="auto" w:sz="4" w:space="0"/>
              <w:right w:val="nil"/>
            </w:tcBorders>
            <w:vAlign w:val="center"/>
          </w:tcPr>
          <w:p w14:paraId="0F4EC593">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–1.2687</w:t>
            </w:r>
          </w:p>
        </w:tc>
        <w:tc>
          <w:tcPr>
            <w:tcW w:w="1353" w:type="dxa"/>
            <w:tcBorders>
              <w:top w:val="nil"/>
              <w:left w:val="nil"/>
              <w:bottom w:val="single" w:color="auto" w:sz="4" w:space="0"/>
              <w:right w:val="nil"/>
            </w:tcBorders>
            <w:vAlign w:val="center"/>
          </w:tcPr>
          <w:p w14:paraId="1ECA1F43">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0.6434</w:t>
            </w:r>
          </w:p>
        </w:tc>
        <w:tc>
          <w:tcPr>
            <w:tcW w:w="1355" w:type="dxa"/>
            <w:tcBorders>
              <w:top w:val="nil"/>
              <w:left w:val="nil"/>
              <w:bottom w:val="single" w:color="auto" w:sz="4" w:space="0"/>
              <w:right w:val="nil"/>
            </w:tcBorders>
            <w:vAlign w:val="center"/>
          </w:tcPr>
          <w:p w14:paraId="109FF199">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–3.5127</w:t>
            </w:r>
          </w:p>
        </w:tc>
        <w:tc>
          <w:tcPr>
            <w:tcW w:w="1355" w:type="dxa"/>
            <w:tcBorders>
              <w:top w:val="nil"/>
              <w:left w:val="nil"/>
              <w:bottom w:val="single" w:color="auto" w:sz="4" w:space="0"/>
              <w:right w:val="nil"/>
            </w:tcBorders>
            <w:vAlign w:val="center"/>
          </w:tcPr>
          <w:p w14:paraId="1F50EEE2">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–2.8975</w:t>
            </w:r>
          </w:p>
        </w:tc>
        <w:tc>
          <w:tcPr>
            <w:tcW w:w="1355" w:type="dxa"/>
            <w:tcBorders>
              <w:top w:val="nil"/>
              <w:left w:val="nil"/>
              <w:bottom w:val="single" w:color="auto" w:sz="4" w:space="0"/>
              <w:right w:val="nil"/>
            </w:tcBorders>
            <w:vAlign w:val="center"/>
          </w:tcPr>
          <w:p w14:paraId="603385CB">
            <w:pPr>
              <w:spacing w:after="0" w:line="240" w:lineRule="auto"/>
              <w:jc w:val="center"/>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–2.5859</w:t>
            </w:r>
          </w:p>
        </w:tc>
      </w:tr>
    </w:tbl>
    <w:p w14:paraId="271D10CE">
      <w:pPr>
        <w:spacing w:after="0" w:line="240" w:lineRule="auto"/>
        <w:ind w:left="720"/>
        <w:rPr>
          <w:rFonts w:ascii="Times New Roman" w:hAnsi="Times New Roman" w:cs="Times New Roman"/>
          <w:sz w:val="20"/>
          <w:szCs w:val="20"/>
        </w:rPr>
      </w:pPr>
      <w:r>
        <w:rPr>
          <w:rStyle w:val="20"/>
          <w:rFonts w:ascii="Times New Roman" w:hAnsi="Times New Roman" w:cs="Times New Roman"/>
          <w:sz w:val="20"/>
          <w:szCs w:val="20"/>
        </w:rPr>
        <w:t>Note.</w:t>
      </w:r>
      <w:r>
        <w:rPr>
          <w:rFonts w:ascii="Times New Roman" w:hAnsi="Times New Roman" w:cs="Times New Roman"/>
          <w:sz w:val="20"/>
          <w:szCs w:val="20"/>
        </w:rPr>
        <w:t xml:space="preserve"> All tests use the Augmented Dickey–Fuller framework; the null hypothesis is that each series contains a unit root.</w:t>
      </w:r>
    </w:p>
    <w:p w14:paraId="603AFC12">
      <w:pPr>
        <w:spacing w:after="0" w:line="360" w:lineRule="auto"/>
        <w:jc w:val="both"/>
        <w:rPr>
          <w:rFonts w:ascii="Times New Roman" w:hAnsi="Times New Roman" w:cs="Times New Roman"/>
        </w:rPr>
      </w:pPr>
      <w:r>
        <w:rPr>
          <w:rFonts w:ascii="Times New Roman" w:hAnsi="Times New Roman" w:cs="Times New Roman"/>
        </w:rPr>
        <w:t>The null hypothesis of a unitroot is not rejected by all the variables in that the coefficient of their ADF test are greater (not negative) than the critical values and their p-values are significantly greater than 0.05. This shows that the log_GE, log_INC, UR and CPI are non-stationary in levels. That is, every series has a stochastic trend and a difference or additional transformation is needed before applying time-series models which are based on stationarity.</w:t>
      </w:r>
    </w:p>
    <w:p w14:paraId="2DDCA50B">
      <w:pPr>
        <w:spacing w:after="0" w:line="360" w:lineRule="auto"/>
        <w:jc w:val="center"/>
        <w:rPr>
          <w:rFonts w:ascii="Times New Roman" w:hAnsi="Times New Roman" w:cs="Times New Roman"/>
          <w:b/>
          <w:bCs/>
          <w:sz w:val="20"/>
          <w:szCs w:val="20"/>
        </w:rPr>
      </w:pPr>
      <w:r>
        <w:rPr>
          <w:rFonts w:ascii="Times New Roman" w:hAnsi="Times New Roman" w:cs="Times New Roman"/>
          <w:b/>
          <w:bCs/>
          <w:sz w:val="20"/>
          <w:szCs w:val="20"/>
        </w:rPr>
        <w:t>Table 5: Variance Inflation Factor (VIF) for Predictor Variables</w:t>
      </w:r>
    </w:p>
    <w:tbl>
      <w:tblPr>
        <w:tblStyle w:val="12"/>
        <w:tblW w:w="7857" w:type="dxa"/>
        <w:jc w:val="center"/>
        <w:tblLayout w:type="autofit"/>
        <w:tblCellMar>
          <w:top w:w="0" w:type="dxa"/>
          <w:left w:w="108" w:type="dxa"/>
          <w:bottom w:w="0" w:type="dxa"/>
          <w:right w:w="108" w:type="dxa"/>
        </w:tblCellMar>
      </w:tblPr>
      <w:tblGrid>
        <w:gridCol w:w="3967"/>
        <w:gridCol w:w="3890"/>
      </w:tblGrid>
      <w:tr w14:paraId="4B56540B">
        <w:tblPrEx>
          <w:tblCellMar>
            <w:top w:w="0" w:type="dxa"/>
            <w:left w:w="108" w:type="dxa"/>
            <w:bottom w:w="0" w:type="dxa"/>
            <w:right w:w="108" w:type="dxa"/>
          </w:tblCellMar>
        </w:tblPrEx>
        <w:trPr>
          <w:trHeight w:val="288" w:hRule="atLeast"/>
          <w:jc w:val="center"/>
        </w:trPr>
        <w:tc>
          <w:tcPr>
            <w:tcW w:w="3967" w:type="dxa"/>
            <w:tcBorders>
              <w:top w:val="single" w:color="auto" w:sz="4" w:space="0"/>
              <w:left w:val="nil"/>
              <w:bottom w:val="single" w:color="auto" w:sz="4" w:space="0"/>
              <w:right w:val="nil"/>
            </w:tcBorders>
            <w:noWrap/>
            <w:vAlign w:val="center"/>
          </w:tcPr>
          <w:p w14:paraId="3119A07F">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Variable</w:t>
            </w:r>
          </w:p>
        </w:tc>
        <w:tc>
          <w:tcPr>
            <w:tcW w:w="3890" w:type="dxa"/>
            <w:tcBorders>
              <w:top w:val="single" w:color="auto" w:sz="4" w:space="0"/>
              <w:left w:val="nil"/>
              <w:bottom w:val="single" w:color="auto" w:sz="4" w:space="0"/>
              <w:right w:val="nil"/>
            </w:tcBorders>
            <w:noWrap/>
            <w:vAlign w:val="center"/>
          </w:tcPr>
          <w:p w14:paraId="66E79D23">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VIF</w:t>
            </w:r>
          </w:p>
        </w:tc>
      </w:tr>
      <w:tr w14:paraId="4F55B007">
        <w:tblPrEx>
          <w:tblCellMar>
            <w:top w:w="0" w:type="dxa"/>
            <w:left w:w="108" w:type="dxa"/>
            <w:bottom w:w="0" w:type="dxa"/>
            <w:right w:w="108" w:type="dxa"/>
          </w:tblCellMar>
        </w:tblPrEx>
        <w:trPr>
          <w:trHeight w:val="288" w:hRule="atLeast"/>
          <w:jc w:val="center"/>
        </w:trPr>
        <w:tc>
          <w:tcPr>
            <w:tcW w:w="3967" w:type="dxa"/>
            <w:tcBorders>
              <w:top w:val="nil"/>
              <w:left w:val="nil"/>
              <w:bottom w:val="nil"/>
              <w:right w:val="nil"/>
            </w:tcBorders>
            <w:noWrap/>
            <w:vAlign w:val="center"/>
          </w:tcPr>
          <w:p w14:paraId="3ABBBFC5">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CPI</w:t>
            </w:r>
          </w:p>
        </w:tc>
        <w:tc>
          <w:tcPr>
            <w:tcW w:w="3890" w:type="dxa"/>
            <w:tcBorders>
              <w:top w:val="nil"/>
              <w:left w:val="nil"/>
              <w:bottom w:val="nil"/>
              <w:right w:val="nil"/>
            </w:tcBorders>
            <w:noWrap/>
            <w:vAlign w:val="center"/>
          </w:tcPr>
          <w:p w14:paraId="0A37B1D3">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1.11</w:t>
            </w:r>
          </w:p>
        </w:tc>
      </w:tr>
      <w:tr w14:paraId="108DA4E1">
        <w:tblPrEx>
          <w:tblCellMar>
            <w:top w:w="0" w:type="dxa"/>
            <w:left w:w="108" w:type="dxa"/>
            <w:bottom w:w="0" w:type="dxa"/>
            <w:right w:w="108" w:type="dxa"/>
          </w:tblCellMar>
        </w:tblPrEx>
        <w:trPr>
          <w:trHeight w:val="288" w:hRule="atLeast"/>
          <w:jc w:val="center"/>
        </w:trPr>
        <w:tc>
          <w:tcPr>
            <w:tcW w:w="3967" w:type="dxa"/>
            <w:tcBorders>
              <w:top w:val="nil"/>
              <w:left w:val="nil"/>
              <w:bottom w:val="nil"/>
              <w:right w:val="nil"/>
            </w:tcBorders>
            <w:noWrap/>
            <w:vAlign w:val="center"/>
          </w:tcPr>
          <w:p w14:paraId="74815B2D">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log_INC</w:t>
            </w:r>
          </w:p>
        </w:tc>
        <w:tc>
          <w:tcPr>
            <w:tcW w:w="3890" w:type="dxa"/>
            <w:tcBorders>
              <w:top w:val="nil"/>
              <w:left w:val="nil"/>
              <w:bottom w:val="nil"/>
              <w:right w:val="nil"/>
            </w:tcBorders>
            <w:noWrap/>
            <w:vAlign w:val="center"/>
          </w:tcPr>
          <w:p w14:paraId="1F2E1085">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1.17</w:t>
            </w:r>
          </w:p>
        </w:tc>
      </w:tr>
      <w:tr w14:paraId="7A7C0497">
        <w:tblPrEx>
          <w:tblCellMar>
            <w:top w:w="0" w:type="dxa"/>
            <w:left w:w="108" w:type="dxa"/>
            <w:bottom w:w="0" w:type="dxa"/>
            <w:right w:w="108" w:type="dxa"/>
          </w:tblCellMar>
        </w:tblPrEx>
        <w:trPr>
          <w:trHeight w:val="288" w:hRule="atLeast"/>
          <w:jc w:val="center"/>
        </w:trPr>
        <w:tc>
          <w:tcPr>
            <w:tcW w:w="3967" w:type="dxa"/>
            <w:tcBorders>
              <w:top w:val="nil"/>
              <w:left w:val="nil"/>
              <w:bottom w:val="single" w:color="auto" w:sz="4" w:space="0"/>
              <w:right w:val="nil"/>
            </w:tcBorders>
            <w:noWrap/>
            <w:vAlign w:val="center"/>
          </w:tcPr>
          <w:p w14:paraId="59A3B359">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UR</w:t>
            </w:r>
          </w:p>
        </w:tc>
        <w:tc>
          <w:tcPr>
            <w:tcW w:w="3890" w:type="dxa"/>
            <w:tcBorders>
              <w:top w:val="nil"/>
              <w:left w:val="nil"/>
              <w:bottom w:val="single" w:color="auto" w:sz="4" w:space="0"/>
              <w:right w:val="nil"/>
            </w:tcBorders>
            <w:noWrap/>
            <w:vAlign w:val="center"/>
          </w:tcPr>
          <w:p w14:paraId="0623AF49">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1.29</w:t>
            </w:r>
          </w:p>
        </w:tc>
      </w:tr>
    </w:tbl>
    <w:p w14:paraId="57FBE13E">
      <w:pPr>
        <w:spacing w:after="0" w:line="360" w:lineRule="auto"/>
        <w:jc w:val="both"/>
        <w:rPr>
          <w:rFonts w:ascii="Times New Roman" w:hAnsi="Times New Roman" w:cs="Times New Roman"/>
        </w:rPr>
      </w:pPr>
    </w:p>
    <w:p w14:paraId="4BC2C5C3">
      <w:pPr>
        <w:spacing w:after="0" w:line="360" w:lineRule="auto"/>
        <w:jc w:val="both"/>
        <w:rPr>
          <w:rFonts w:ascii="Times New Roman" w:hAnsi="Times New Roman" w:cs="Times New Roman"/>
          <w:sz w:val="20"/>
          <w:szCs w:val="20"/>
        </w:rPr>
      </w:pPr>
      <w:r>
        <w:rPr>
          <w:rFonts w:ascii="Times New Roman" w:hAnsi="Times New Roman" w:cs="Times New Roman"/>
        </w:rPr>
        <w:t>The values of VIF of CPI, log_INC and UR are almost equal to 1, which means that the multicollinearity of the predictors is very low. This implies that the independent variables do not have excessive correlation amongst them and the regression coefficients are consistent and consistent. The fact that the VIF of the constant is high and does not influence the interpretation of the model is not a problem.</w:t>
      </w:r>
    </w:p>
    <w:p w14:paraId="3977FFBD">
      <w:pPr>
        <w:spacing w:after="0" w:line="360" w:lineRule="auto"/>
        <w:jc w:val="both"/>
        <w:rPr>
          <w:rFonts w:ascii="Times New Roman" w:hAnsi="Times New Roman" w:cs="Times New Roman"/>
          <w:sz w:val="20"/>
          <w:szCs w:val="20"/>
        </w:rPr>
      </w:pPr>
      <w:r>
        <w:rPr>
          <w:rFonts w:ascii="Times New Roman" w:hAnsi="Times New Roman" w:cs="Times New Roman"/>
          <w:sz w:val="20"/>
          <w:szCs w:val="20"/>
          <w:lang w:val="en-US"/>
        </w:rPr>
        <w:drawing>
          <wp:anchor distT="0" distB="0" distL="114300" distR="114300" simplePos="0" relativeHeight="251661312" behindDoc="0" locked="0" layoutInCell="1" allowOverlap="1">
            <wp:simplePos x="0" y="0"/>
            <wp:positionH relativeFrom="margin">
              <wp:posOffset>0</wp:posOffset>
            </wp:positionH>
            <wp:positionV relativeFrom="margin">
              <wp:posOffset>744220</wp:posOffset>
            </wp:positionV>
            <wp:extent cx="5731510" cy="1878965"/>
            <wp:effectExtent l="0" t="0" r="254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1878965"/>
                    </a:xfrm>
                    <a:prstGeom prst="rect">
                      <a:avLst/>
                    </a:prstGeom>
                    <a:noFill/>
                    <a:ln>
                      <a:noFill/>
                    </a:ln>
                  </pic:spPr>
                </pic:pic>
              </a:graphicData>
            </a:graphic>
          </wp:anchor>
        </w:drawing>
      </w:r>
    </w:p>
    <w:p w14:paraId="64686922">
      <w:pPr>
        <w:spacing w:line="360" w:lineRule="auto"/>
        <w:jc w:val="center"/>
        <w:rPr>
          <w:rFonts w:ascii="Times New Roman" w:hAnsi="Times New Roman" w:cs="Times New Roman"/>
          <w:sz w:val="20"/>
          <w:szCs w:val="20"/>
        </w:rPr>
      </w:pPr>
    </w:p>
    <w:p w14:paraId="036A167E">
      <w:pPr>
        <w:spacing w:line="360" w:lineRule="auto"/>
        <w:jc w:val="center"/>
        <w:rPr>
          <w:rFonts w:ascii="Times New Roman" w:hAnsi="Times New Roman" w:cs="Times New Roman"/>
          <w:b/>
          <w:bCs/>
          <w:i/>
          <w:iCs/>
          <w:sz w:val="20"/>
          <w:szCs w:val="20"/>
        </w:rPr>
      </w:pPr>
      <w:r>
        <w:rPr>
          <w:rFonts w:ascii="Times New Roman" w:hAnsi="Times New Roman" w:cs="Times New Roman"/>
          <w:b/>
          <w:bCs/>
          <w:i/>
          <w:iCs/>
          <w:sz w:val="20"/>
          <w:szCs w:val="20"/>
        </w:rPr>
        <w:t>Figure 3: ACF and PACF of Regression Residuals</w:t>
      </w:r>
    </w:p>
    <w:p w14:paraId="1D30F1E1">
      <w:pPr>
        <w:spacing w:line="360" w:lineRule="auto"/>
        <w:jc w:val="both"/>
        <w:rPr>
          <w:rFonts w:ascii="Times New Roman" w:hAnsi="Times New Roman" w:cs="Times New Roman"/>
        </w:rPr>
      </w:pPr>
      <w:r>
        <w:rPr>
          <w:rFonts w:ascii="Times New Roman" w:hAnsi="Times New Roman" w:cs="Times New Roman"/>
        </w:rPr>
        <w:t>ACF plot indicates that at several lags, there are very high rate positive autocorrelations that decrease, although they are quite out of the confidence bands. The PACF also shows large spikes at early lags especially lag 1. These values, together with the extremely small value of Durbin Watson (0.2567), imply that the residual values are strongly positively autocorrelated. This implies that the regression model does not meet the assumption of independent errors, i.e. time-series dynamics have not been comprehensively explained and some further modelling corrections (in the form of adding lags or applying ARIMA/ARIMAX modelling methods) might be necessary.</w:t>
      </w:r>
    </w:p>
    <w:p w14:paraId="56FC3D50">
      <w:pPr>
        <w:spacing w:line="360" w:lineRule="auto"/>
        <w:jc w:val="center"/>
        <w:rPr>
          <w:rFonts w:ascii="Times New Roman" w:hAnsi="Times New Roman" w:cs="Times New Roman"/>
          <w:b/>
          <w:bCs/>
          <w:i/>
          <w:iCs/>
          <w:sz w:val="20"/>
          <w:szCs w:val="20"/>
        </w:rPr>
      </w:pPr>
      <w:r>
        <w:rPr>
          <w:rFonts w:ascii="Times New Roman" w:hAnsi="Times New Roman" w:cs="Times New Roman"/>
          <w:b/>
          <w:bCs/>
          <w:i/>
          <w:iCs/>
          <w:sz w:val="20"/>
          <w:szCs w:val="20"/>
        </w:rPr>
        <w:t>Table 6: Residual Diagnostics: Normality and Heteroskedasticity Tests</w:t>
      </w:r>
    </w:p>
    <w:tbl>
      <w:tblPr>
        <w:tblStyle w:val="12"/>
        <w:tblW w:w="8762" w:type="dxa"/>
        <w:tblInd w:w="0" w:type="dxa"/>
        <w:tblLayout w:type="autofit"/>
        <w:tblCellMar>
          <w:top w:w="0" w:type="dxa"/>
          <w:left w:w="108" w:type="dxa"/>
          <w:bottom w:w="0" w:type="dxa"/>
          <w:right w:w="108" w:type="dxa"/>
        </w:tblCellMar>
      </w:tblPr>
      <w:tblGrid>
        <w:gridCol w:w="5345"/>
        <w:gridCol w:w="1696"/>
        <w:gridCol w:w="1721"/>
      </w:tblGrid>
      <w:tr w14:paraId="06E7455A">
        <w:tblPrEx>
          <w:tblCellMar>
            <w:top w:w="0" w:type="dxa"/>
            <w:left w:w="108" w:type="dxa"/>
            <w:bottom w:w="0" w:type="dxa"/>
            <w:right w:w="108" w:type="dxa"/>
          </w:tblCellMar>
        </w:tblPrEx>
        <w:trPr>
          <w:trHeight w:val="275" w:hRule="atLeast"/>
        </w:trPr>
        <w:tc>
          <w:tcPr>
            <w:tcW w:w="5345" w:type="dxa"/>
            <w:tcBorders>
              <w:top w:val="single" w:color="auto" w:sz="4" w:space="0"/>
              <w:left w:val="nil"/>
              <w:bottom w:val="single" w:color="auto" w:sz="4" w:space="0"/>
              <w:right w:val="nil"/>
            </w:tcBorders>
            <w:noWrap/>
            <w:vAlign w:val="center"/>
          </w:tcPr>
          <w:p w14:paraId="6F6709B7">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Test</w:t>
            </w:r>
          </w:p>
        </w:tc>
        <w:tc>
          <w:tcPr>
            <w:tcW w:w="1696" w:type="dxa"/>
            <w:tcBorders>
              <w:top w:val="single" w:color="auto" w:sz="4" w:space="0"/>
              <w:left w:val="nil"/>
              <w:bottom w:val="single" w:color="auto" w:sz="4" w:space="0"/>
              <w:right w:val="nil"/>
            </w:tcBorders>
            <w:noWrap/>
            <w:vAlign w:val="center"/>
          </w:tcPr>
          <w:p w14:paraId="6C661074">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Statistic</w:t>
            </w:r>
          </w:p>
        </w:tc>
        <w:tc>
          <w:tcPr>
            <w:tcW w:w="1721" w:type="dxa"/>
            <w:tcBorders>
              <w:top w:val="single" w:color="auto" w:sz="4" w:space="0"/>
              <w:left w:val="nil"/>
              <w:bottom w:val="single" w:color="auto" w:sz="4" w:space="0"/>
              <w:right w:val="nil"/>
            </w:tcBorders>
            <w:noWrap/>
            <w:vAlign w:val="center"/>
          </w:tcPr>
          <w:p w14:paraId="7257BE0B">
            <w:pPr>
              <w:spacing w:after="0" w:line="240" w:lineRule="auto"/>
              <w:jc w:val="center"/>
              <w:rPr>
                <w:rFonts w:ascii="Times New Roman" w:hAnsi="Times New Roman" w:eastAsia="Times New Roman" w:cs="Times New Roman"/>
                <w:b/>
                <w:bCs/>
                <w:i/>
                <w:iCs/>
                <w:color w:val="000000"/>
                <w:kern w:val="0"/>
                <w:sz w:val="22"/>
                <w:szCs w:val="22"/>
                <w:lang w:val="en-US"/>
                <w14:ligatures w14:val="none"/>
              </w:rPr>
            </w:pPr>
            <w:r>
              <w:rPr>
                <w:rFonts w:ascii="Times New Roman" w:hAnsi="Times New Roman" w:eastAsia="Times New Roman" w:cs="Times New Roman"/>
                <w:b/>
                <w:bCs/>
                <w:i/>
                <w:iCs/>
                <w:color w:val="000000"/>
                <w:kern w:val="0"/>
                <w:sz w:val="22"/>
                <w:szCs w:val="22"/>
                <w:lang w:val="en-US"/>
                <w14:ligatures w14:val="none"/>
              </w:rPr>
              <w:t>p</w:t>
            </w:r>
            <w:r>
              <w:rPr>
                <w:rFonts w:ascii="Times New Roman" w:hAnsi="Times New Roman" w:eastAsia="Times New Roman" w:cs="Times New Roman"/>
                <w:b/>
                <w:bCs/>
                <w:color w:val="000000"/>
                <w:kern w:val="0"/>
                <w:sz w:val="22"/>
                <w:szCs w:val="22"/>
                <w:lang w:val="en-US"/>
                <w14:ligatures w14:val="none"/>
              </w:rPr>
              <w:t>-value</w:t>
            </w:r>
          </w:p>
        </w:tc>
      </w:tr>
      <w:tr w14:paraId="3720BA8E">
        <w:tblPrEx>
          <w:tblCellMar>
            <w:top w:w="0" w:type="dxa"/>
            <w:left w:w="108" w:type="dxa"/>
            <w:bottom w:w="0" w:type="dxa"/>
            <w:right w:w="108" w:type="dxa"/>
          </w:tblCellMar>
        </w:tblPrEx>
        <w:trPr>
          <w:trHeight w:val="275" w:hRule="atLeast"/>
        </w:trPr>
        <w:tc>
          <w:tcPr>
            <w:tcW w:w="5345" w:type="dxa"/>
            <w:tcBorders>
              <w:top w:val="nil"/>
              <w:left w:val="nil"/>
              <w:bottom w:val="nil"/>
              <w:right w:val="nil"/>
            </w:tcBorders>
            <w:noWrap/>
            <w:vAlign w:val="center"/>
          </w:tcPr>
          <w:p w14:paraId="73DD6C65">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Jarque–Bera Normality Test</w:t>
            </w:r>
          </w:p>
        </w:tc>
        <w:tc>
          <w:tcPr>
            <w:tcW w:w="1696" w:type="dxa"/>
            <w:tcBorders>
              <w:top w:val="nil"/>
              <w:left w:val="nil"/>
              <w:bottom w:val="nil"/>
              <w:right w:val="nil"/>
            </w:tcBorders>
            <w:noWrap/>
            <w:vAlign w:val="center"/>
          </w:tcPr>
          <w:p w14:paraId="6527DDBE">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1.4646</w:t>
            </w:r>
          </w:p>
        </w:tc>
        <w:tc>
          <w:tcPr>
            <w:tcW w:w="1721" w:type="dxa"/>
            <w:tcBorders>
              <w:top w:val="nil"/>
              <w:left w:val="nil"/>
              <w:bottom w:val="nil"/>
              <w:right w:val="nil"/>
            </w:tcBorders>
            <w:noWrap/>
            <w:vAlign w:val="center"/>
          </w:tcPr>
          <w:p w14:paraId="490FB486">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0.4808</w:t>
            </w:r>
          </w:p>
        </w:tc>
      </w:tr>
      <w:tr w14:paraId="24EA19E2">
        <w:tblPrEx>
          <w:tblCellMar>
            <w:top w:w="0" w:type="dxa"/>
            <w:left w:w="108" w:type="dxa"/>
            <w:bottom w:w="0" w:type="dxa"/>
            <w:right w:w="108" w:type="dxa"/>
          </w:tblCellMar>
        </w:tblPrEx>
        <w:trPr>
          <w:trHeight w:val="275" w:hRule="atLeast"/>
        </w:trPr>
        <w:tc>
          <w:tcPr>
            <w:tcW w:w="5345" w:type="dxa"/>
            <w:tcBorders>
              <w:top w:val="nil"/>
              <w:left w:val="nil"/>
              <w:bottom w:val="nil"/>
              <w:right w:val="nil"/>
            </w:tcBorders>
            <w:noWrap/>
            <w:vAlign w:val="center"/>
          </w:tcPr>
          <w:p w14:paraId="272B2F6D">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LM Test for Heteroskedasticity</w:t>
            </w:r>
          </w:p>
        </w:tc>
        <w:tc>
          <w:tcPr>
            <w:tcW w:w="1696" w:type="dxa"/>
            <w:tcBorders>
              <w:top w:val="nil"/>
              <w:left w:val="nil"/>
              <w:bottom w:val="nil"/>
              <w:right w:val="nil"/>
            </w:tcBorders>
            <w:noWrap/>
            <w:vAlign w:val="center"/>
          </w:tcPr>
          <w:p w14:paraId="7809F5B6">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16.4391</w:t>
            </w:r>
          </w:p>
        </w:tc>
        <w:tc>
          <w:tcPr>
            <w:tcW w:w="1721" w:type="dxa"/>
            <w:tcBorders>
              <w:top w:val="nil"/>
              <w:left w:val="nil"/>
              <w:bottom w:val="nil"/>
              <w:right w:val="nil"/>
            </w:tcBorders>
            <w:noWrap/>
            <w:vAlign w:val="center"/>
          </w:tcPr>
          <w:p w14:paraId="1F5BE079">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0.0009</w:t>
            </w:r>
          </w:p>
        </w:tc>
      </w:tr>
      <w:tr w14:paraId="7C0D97FC">
        <w:tblPrEx>
          <w:tblCellMar>
            <w:top w:w="0" w:type="dxa"/>
            <w:left w:w="108" w:type="dxa"/>
            <w:bottom w:w="0" w:type="dxa"/>
            <w:right w:w="108" w:type="dxa"/>
          </w:tblCellMar>
        </w:tblPrEx>
        <w:trPr>
          <w:trHeight w:val="275" w:hRule="atLeast"/>
        </w:trPr>
        <w:tc>
          <w:tcPr>
            <w:tcW w:w="5345" w:type="dxa"/>
            <w:tcBorders>
              <w:top w:val="nil"/>
              <w:left w:val="nil"/>
              <w:bottom w:val="single" w:color="auto" w:sz="4" w:space="0"/>
              <w:right w:val="nil"/>
            </w:tcBorders>
            <w:noWrap/>
            <w:vAlign w:val="center"/>
          </w:tcPr>
          <w:p w14:paraId="5142AFB0">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F Test for Heteroskedasticity</w:t>
            </w:r>
          </w:p>
        </w:tc>
        <w:tc>
          <w:tcPr>
            <w:tcW w:w="1696" w:type="dxa"/>
            <w:tcBorders>
              <w:top w:val="nil"/>
              <w:left w:val="nil"/>
              <w:bottom w:val="single" w:color="auto" w:sz="4" w:space="0"/>
              <w:right w:val="nil"/>
            </w:tcBorders>
            <w:noWrap/>
            <w:vAlign w:val="center"/>
          </w:tcPr>
          <w:p w14:paraId="1D80D06F">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6.3939</w:t>
            </w:r>
          </w:p>
        </w:tc>
        <w:tc>
          <w:tcPr>
            <w:tcW w:w="1721" w:type="dxa"/>
            <w:tcBorders>
              <w:top w:val="nil"/>
              <w:left w:val="nil"/>
              <w:bottom w:val="single" w:color="auto" w:sz="4" w:space="0"/>
              <w:right w:val="nil"/>
            </w:tcBorders>
            <w:noWrap/>
            <w:vAlign w:val="center"/>
          </w:tcPr>
          <w:p w14:paraId="74BF0AFE">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0.0006</w:t>
            </w:r>
          </w:p>
        </w:tc>
      </w:tr>
    </w:tbl>
    <w:p w14:paraId="4358E856">
      <w:pPr>
        <w:pStyle w:val="18"/>
        <w:spacing w:line="360" w:lineRule="auto"/>
        <w:jc w:val="both"/>
      </w:pPr>
      <w:r>
        <w:t>Jarque Bera test indicates that the p-value (0.4808) is high and therefore the residuals are not significantly deviated in their normality. Both Heteroskedasticity LM and F tests are however, extremely significant (p &lt; 0.01), indicating that there is non-constant variance in the residuals. This implies that although the condition of normality is met, the homoskedasticity assumption is not met by the model and that the heteroskedasticity-robust standard errors can be used to draw reliable inferences.</w:t>
      </w:r>
    </w:p>
    <w:p w14:paraId="5DA8AF47">
      <w:pPr>
        <w:pStyle w:val="18"/>
        <w:spacing w:line="360" w:lineRule="auto"/>
        <w:jc w:val="both"/>
      </w:pPr>
    </w:p>
    <w:p w14:paraId="50113129">
      <w:pPr>
        <w:pStyle w:val="18"/>
        <w:spacing w:line="360" w:lineRule="auto"/>
        <w:jc w:val="center"/>
        <w:rPr>
          <w:b/>
          <w:bCs/>
          <w:i/>
          <w:iCs/>
          <w:sz w:val="20"/>
          <w:szCs w:val="20"/>
        </w:rPr>
      </w:pPr>
      <w:r>
        <w:rPr>
          <w:b/>
          <w:bCs/>
          <w:i/>
          <w:iCs/>
          <w:sz w:val="20"/>
          <w:szCs w:val="20"/>
        </w:rPr>
        <w:t>Table 7: Robustness Check: Regression of log(GE) on Lagged CPI, log(INC), and UR</w:t>
      </w:r>
    </w:p>
    <w:tbl>
      <w:tblPr>
        <w:tblStyle w:val="12"/>
        <w:tblW w:w="8880" w:type="dxa"/>
        <w:tblInd w:w="0" w:type="dxa"/>
        <w:tblLayout w:type="autofit"/>
        <w:tblCellMar>
          <w:top w:w="0" w:type="dxa"/>
          <w:left w:w="108" w:type="dxa"/>
          <w:bottom w:w="0" w:type="dxa"/>
          <w:right w:w="108" w:type="dxa"/>
        </w:tblCellMar>
      </w:tblPr>
      <w:tblGrid>
        <w:gridCol w:w="2433"/>
        <w:gridCol w:w="2487"/>
        <w:gridCol w:w="1980"/>
        <w:gridCol w:w="1980"/>
      </w:tblGrid>
      <w:tr w14:paraId="45FB11AB">
        <w:tblPrEx>
          <w:tblCellMar>
            <w:top w:w="0" w:type="dxa"/>
            <w:left w:w="108" w:type="dxa"/>
            <w:bottom w:w="0" w:type="dxa"/>
            <w:right w:w="108" w:type="dxa"/>
          </w:tblCellMar>
        </w:tblPrEx>
        <w:trPr>
          <w:trHeight w:val="258" w:hRule="atLeast"/>
        </w:trPr>
        <w:tc>
          <w:tcPr>
            <w:tcW w:w="2433" w:type="dxa"/>
            <w:tcBorders>
              <w:top w:val="single" w:color="auto" w:sz="4" w:space="0"/>
              <w:left w:val="nil"/>
              <w:bottom w:val="single" w:color="auto" w:sz="4" w:space="0"/>
              <w:right w:val="nil"/>
            </w:tcBorders>
            <w:noWrap/>
            <w:vAlign w:val="center"/>
          </w:tcPr>
          <w:p w14:paraId="4D8D1B77">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Predictor</w:t>
            </w:r>
          </w:p>
        </w:tc>
        <w:tc>
          <w:tcPr>
            <w:tcW w:w="2487" w:type="dxa"/>
            <w:tcBorders>
              <w:top w:val="single" w:color="auto" w:sz="4" w:space="0"/>
              <w:left w:val="nil"/>
              <w:bottom w:val="single" w:color="auto" w:sz="4" w:space="0"/>
              <w:right w:val="nil"/>
            </w:tcBorders>
            <w:noWrap/>
            <w:vAlign w:val="center"/>
          </w:tcPr>
          <w:p w14:paraId="285AA84A">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Coefficient</w:t>
            </w:r>
          </w:p>
        </w:tc>
        <w:tc>
          <w:tcPr>
            <w:tcW w:w="1980" w:type="dxa"/>
            <w:tcBorders>
              <w:top w:val="single" w:color="auto" w:sz="4" w:space="0"/>
              <w:left w:val="nil"/>
              <w:bottom w:val="single" w:color="auto" w:sz="4" w:space="0"/>
              <w:right w:val="nil"/>
            </w:tcBorders>
            <w:noWrap/>
            <w:vAlign w:val="center"/>
          </w:tcPr>
          <w:p w14:paraId="53765308">
            <w:pPr>
              <w:spacing w:after="0" w:line="240" w:lineRule="auto"/>
              <w:jc w:val="center"/>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Std. Error</w:t>
            </w:r>
          </w:p>
        </w:tc>
        <w:tc>
          <w:tcPr>
            <w:tcW w:w="1980" w:type="dxa"/>
            <w:tcBorders>
              <w:top w:val="single" w:color="auto" w:sz="4" w:space="0"/>
              <w:left w:val="nil"/>
              <w:bottom w:val="single" w:color="auto" w:sz="4" w:space="0"/>
              <w:right w:val="nil"/>
            </w:tcBorders>
            <w:noWrap/>
            <w:vAlign w:val="center"/>
          </w:tcPr>
          <w:p w14:paraId="5067B986">
            <w:pPr>
              <w:spacing w:after="0" w:line="240" w:lineRule="auto"/>
              <w:jc w:val="center"/>
              <w:rPr>
                <w:rFonts w:ascii="Times New Roman" w:hAnsi="Times New Roman" w:eastAsia="Times New Roman" w:cs="Times New Roman"/>
                <w:b/>
                <w:bCs/>
                <w:i/>
                <w:iCs/>
                <w:color w:val="000000"/>
                <w:kern w:val="0"/>
                <w:sz w:val="22"/>
                <w:szCs w:val="22"/>
                <w:lang w:val="en-US"/>
                <w14:ligatures w14:val="none"/>
              </w:rPr>
            </w:pPr>
            <w:r>
              <w:rPr>
                <w:rFonts w:ascii="Times New Roman" w:hAnsi="Times New Roman" w:eastAsia="Times New Roman" w:cs="Times New Roman"/>
                <w:b/>
                <w:bCs/>
                <w:i/>
                <w:iCs/>
                <w:color w:val="000000"/>
                <w:kern w:val="0"/>
                <w:sz w:val="22"/>
                <w:szCs w:val="22"/>
                <w:lang w:val="en-US"/>
                <w14:ligatures w14:val="none"/>
              </w:rPr>
              <w:t>p</w:t>
            </w:r>
            <w:r>
              <w:rPr>
                <w:rFonts w:ascii="Times New Roman" w:hAnsi="Times New Roman" w:eastAsia="Times New Roman" w:cs="Times New Roman"/>
                <w:b/>
                <w:bCs/>
                <w:color w:val="000000"/>
                <w:kern w:val="0"/>
                <w:sz w:val="22"/>
                <w:szCs w:val="22"/>
                <w:lang w:val="en-US"/>
                <w14:ligatures w14:val="none"/>
              </w:rPr>
              <w:t>-value</w:t>
            </w:r>
          </w:p>
        </w:tc>
      </w:tr>
      <w:tr w14:paraId="7A590994">
        <w:tblPrEx>
          <w:tblCellMar>
            <w:top w:w="0" w:type="dxa"/>
            <w:left w:w="108" w:type="dxa"/>
            <w:bottom w:w="0" w:type="dxa"/>
            <w:right w:w="108" w:type="dxa"/>
          </w:tblCellMar>
        </w:tblPrEx>
        <w:trPr>
          <w:trHeight w:val="258" w:hRule="atLeast"/>
        </w:trPr>
        <w:tc>
          <w:tcPr>
            <w:tcW w:w="2433" w:type="dxa"/>
            <w:tcBorders>
              <w:top w:val="nil"/>
              <w:left w:val="nil"/>
              <w:bottom w:val="nil"/>
              <w:right w:val="nil"/>
            </w:tcBorders>
            <w:vAlign w:val="center"/>
          </w:tcPr>
          <w:p w14:paraId="146A249B">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CPI (t−1)</w:t>
            </w:r>
          </w:p>
        </w:tc>
        <w:tc>
          <w:tcPr>
            <w:tcW w:w="2487" w:type="dxa"/>
            <w:tcBorders>
              <w:top w:val="nil"/>
              <w:left w:val="nil"/>
              <w:bottom w:val="nil"/>
              <w:right w:val="nil"/>
            </w:tcBorders>
            <w:vAlign w:val="center"/>
          </w:tcPr>
          <w:p w14:paraId="40AA4A50">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0.0093</w:t>
            </w:r>
          </w:p>
        </w:tc>
        <w:tc>
          <w:tcPr>
            <w:tcW w:w="1980" w:type="dxa"/>
            <w:tcBorders>
              <w:top w:val="nil"/>
              <w:left w:val="nil"/>
              <w:bottom w:val="nil"/>
              <w:right w:val="nil"/>
            </w:tcBorders>
            <w:vAlign w:val="center"/>
          </w:tcPr>
          <w:p w14:paraId="159EC655">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0.0029</w:t>
            </w:r>
          </w:p>
        </w:tc>
        <w:tc>
          <w:tcPr>
            <w:tcW w:w="1980" w:type="dxa"/>
            <w:tcBorders>
              <w:top w:val="nil"/>
              <w:left w:val="nil"/>
              <w:bottom w:val="nil"/>
              <w:right w:val="nil"/>
            </w:tcBorders>
            <w:vAlign w:val="center"/>
          </w:tcPr>
          <w:p w14:paraId="65E81680">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0.002</w:t>
            </w:r>
          </w:p>
        </w:tc>
      </w:tr>
      <w:tr w14:paraId="11BED3C6">
        <w:tblPrEx>
          <w:tblCellMar>
            <w:top w:w="0" w:type="dxa"/>
            <w:left w:w="108" w:type="dxa"/>
            <w:bottom w:w="0" w:type="dxa"/>
            <w:right w:w="108" w:type="dxa"/>
          </w:tblCellMar>
        </w:tblPrEx>
        <w:trPr>
          <w:trHeight w:val="258" w:hRule="atLeast"/>
        </w:trPr>
        <w:tc>
          <w:tcPr>
            <w:tcW w:w="2433" w:type="dxa"/>
            <w:tcBorders>
              <w:top w:val="nil"/>
              <w:left w:val="nil"/>
              <w:bottom w:val="nil"/>
              <w:right w:val="nil"/>
            </w:tcBorders>
            <w:vAlign w:val="center"/>
          </w:tcPr>
          <w:p w14:paraId="6D824A75">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log_INC</w:t>
            </w:r>
          </w:p>
        </w:tc>
        <w:tc>
          <w:tcPr>
            <w:tcW w:w="2487" w:type="dxa"/>
            <w:tcBorders>
              <w:top w:val="nil"/>
              <w:left w:val="nil"/>
              <w:bottom w:val="nil"/>
              <w:right w:val="nil"/>
            </w:tcBorders>
            <w:vAlign w:val="center"/>
          </w:tcPr>
          <w:p w14:paraId="1A0753E5">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2.9657</w:t>
            </w:r>
          </w:p>
        </w:tc>
        <w:tc>
          <w:tcPr>
            <w:tcW w:w="1980" w:type="dxa"/>
            <w:tcBorders>
              <w:top w:val="nil"/>
              <w:left w:val="nil"/>
              <w:bottom w:val="nil"/>
              <w:right w:val="nil"/>
            </w:tcBorders>
            <w:vAlign w:val="center"/>
          </w:tcPr>
          <w:p w14:paraId="5830B4FD">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0.1207</w:t>
            </w:r>
          </w:p>
        </w:tc>
        <w:tc>
          <w:tcPr>
            <w:tcW w:w="1980" w:type="dxa"/>
            <w:tcBorders>
              <w:top w:val="nil"/>
              <w:left w:val="nil"/>
              <w:bottom w:val="nil"/>
              <w:right w:val="nil"/>
            </w:tcBorders>
            <w:vAlign w:val="center"/>
          </w:tcPr>
          <w:p w14:paraId="41EABE48">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w:t>
            </w:r>
          </w:p>
        </w:tc>
      </w:tr>
      <w:tr w14:paraId="294DED46">
        <w:tblPrEx>
          <w:tblCellMar>
            <w:top w:w="0" w:type="dxa"/>
            <w:left w:w="108" w:type="dxa"/>
            <w:bottom w:w="0" w:type="dxa"/>
            <w:right w:w="108" w:type="dxa"/>
          </w:tblCellMar>
        </w:tblPrEx>
        <w:trPr>
          <w:trHeight w:val="258" w:hRule="atLeast"/>
        </w:trPr>
        <w:tc>
          <w:tcPr>
            <w:tcW w:w="2433" w:type="dxa"/>
            <w:tcBorders>
              <w:top w:val="nil"/>
              <w:left w:val="nil"/>
              <w:bottom w:val="nil"/>
              <w:right w:val="nil"/>
            </w:tcBorders>
            <w:vAlign w:val="center"/>
          </w:tcPr>
          <w:p w14:paraId="35186ED1">
            <w:pPr>
              <w:spacing w:after="0" w:line="240" w:lineRule="auto"/>
              <w:rPr>
                <w:rFonts w:ascii="Times New Roman" w:hAnsi="Times New Roman" w:eastAsia="Times New Roman" w:cs="Times New Roman"/>
                <w:b/>
                <w:bCs/>
                <w:color w:val="000000"/>
                <w:kern w:val="0"/>
                <w:sz w:val="22"/>
                <w:szCs w:val="22"/>
                <w:lang w:val="en-US"/>
                <w14:ligatures w14:val="none"/>
              </w:rPr>
            </w:pPr>
            <w:r>
              <w:rPr>
                <w:rFonts w:ascii="Times New Roman" w:hAnsi="Times New Roman" w:eastAsia="Times New Roman" w:cs="Times New Roman"/>
                <w:b/>
                <w:bCs/>
                <w:color w:val="000000"/>
                <w:kern w:val="0"/>
                <w:sz w:val="22"/>
                <w:szCs w:val="22"/>
                <w:lang w:val="en-US"/>
                <w14:ligatures w14:val="none"/>
              </w:rPr>
              <w:t>UR</w:t>
            </w:r>
          </w:p>
        </w:tc>
        <w:tc>
          <w:tcPr>
            <w:tcW w:w="2487" w:type="dxa"/>
            <w:tcBorders>
              <w:top w:val="nil"/>
              <w:left w:val="nil"/>
              <w:bottom w:val="nil"/>
              <w:right w:val="nil"/>
            </w:tcBorders>
            <w:vAlign w:val="center"/>
          </w:tcPr>
          <w:p w14:paraId="644CE27C">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0.0008</w:t>
            </w:r>
          </w:p>
        </w:tc>
        <w:tc>
          <w:tcPr>
            <w:tcW w:w="1980" w:type="dxa"/>
            <w:tcBorders>
              <w:top w:val="nil"/>
              <w:left w:val="nil"/>
              <w:bottom w:val="nil"/>
              <w:right w:val="nil"/>
            </w:tcBorders>
            <w:vAlign w:val="center"/>
          </w:tcPr>
          <w:p w14:paraId="541D23CD">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0.007</w:t>
            </w:r>
          </w:p>
        </w:tc>
        <w:tc>
          <w:tcPr>
            <w:tcW w:w="1980" w:type="dxa"/>
            <w:tcBorders>
              <w:top w:val="nil"/>
              <w:left w:val="nil"/>
              <w:bottom w:val="nil"/>
              <w:right w:val="nil"/>
            </w:tcBorders>
            <w:vAlign w:val="center"/>
          </w:tcPr>
          <w:p w14:paraId="0F7A6B93">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0.909</w:t>
            </w:r>
          </w:p>
        </w:tc>
      </w:tr>
      <w:tr w14:paraId="79B38049">
        <w:tblPrEx>
          <w:tblCellMar>
            <w:top w:w="0" w:type="dxa"/>
            <w:left w:w="108" w:type="dxa"/>
            <w:bottom w:w="0" w:type="dxa"/>
            <w:right w:w="108" w:type="dxa"/>
          </w:tblCellMar>
        </w:tblPrEx>
        <w:trPr>
          <w:trHeight w:val="258" w:hRule="atLeast"/>
        </w:trPr>
        <w:tc>
          <w:tcPr>
            <w:tcW w:w="2433" w:type="dxa"/>
            <w:tcBorders>
              <w:top w:val="nil"/>
              <w:left w:val="nil"/>
              <w:bottom w:val="nil"/>
              <w:right w:val="nil"/>
            </w:tcBorders>
            <w:vAlign w:val="center"/>
          </w:tcPr>
          <w:p w14:paraId="6B6385E8">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R²</w:t>
            </w:r>
          </w:p>
        </w:tc>
        <w:tc>
          <w:tcPr>
            <w:tcW w:w="2487" w:type="dxa"/>
            <w:tcBorders>
              <w:top w:val="nil"/>
              <w:left w:val="nil"/>
              <w:bottom w:val="nil"/>
              <w:right w:val="nil"/>
            </w:tcBorders>
            <w:vAlign w:val="center"/>
          </w:tcPr>
          <w:p w14:paraId="52E0A884">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0.889</w:t>
            </w:r>
          </w:p>
        </w:tc>
        <w:tc>
          <w:tcPr>
            <w:tcW w:w="1980" w:type="dxa"/>
            <w:tcBorders>
              <w:top w:val="nil"/>
              <w:left w:val="nil"/>
              <w:bottom w:val="nil"/>
              <w:right w:val="nil"/>
            </w:tcBorders>
            <w:noWrap/>
            <w:vAlign w:val="bottom"/>
          </w:tcPr>
          <w:p w14:paraId="07FB3334">
            <w:pPr>
              <w:spacing w:after="0" w:line="240" w:lineRule="auto"/>
              <w:jc w:val="right"/>
              <w:rPr>
                <w:rFonts w:ascii="Times New Roman" w:hAnsi="Times New Roman" w:eastAsia="Times New Roman" w:cs="Times New Roman"/>
                <w:color w:val="000000"/>
                <w:kern w:val="0"/>
                <w:sz w:val="22"/>
                <w:szCs w:val="22"/>
                <w:lang w:val="en-US"/>
                <w14:ligatures w14:val="none"/>
              </w:rPr>
            </w:pPr>
          </w:p>
        </w:tc>
        <w:tc>
          <w:tcPr>
            <w:tcW w:w="1980" w:type="dxa"/>
            <w:tcBorders>
              <w:top w:val="nil"/>
              <w:left w:val="nil"/>
              <w:bottom w:val="nil"/>
              <w:right w:val="nil"/>
            </w:tcBorders>
            <w:noWrap/>
            <w:vAlign w:val="bottom"/>
          </w:tcPr>
          <w:p w14:paraId="0F532E4D">
            <w:pPr>
              <w:spacing w:after="0" w:line="240" w:lineRule="auto"/>
              <w:rPr>
                <w:rFonts w:ascii="Times New Roman" w:hAnsi="Times New Roman" w:eastAsia="Times New Roman" w:cs="Times New Roman"/>
                <w:kern w:val="0"/>
                <w:sz w:val="20"/>
                <w:szCs w:val="20"/>
                <w:lang w:val="en-US"/>
                <w14:ligatures w14:val="none"/>
              </w:rPr>
            </w:pPr>
          </w:p>
        </w:tc>
      </w:tr>
      <w:tr w14:paraId="6567F948">
        <w:tblPrEx>
          <w:tblCellMar>
            <w:top w:w="0" w:type="dxa"/>
            <w:left w:w="108" w:type="dxa"/>
            <w:bottom w:w="0" w:type="dxa"/>
            <w:right w:w="108" w:type="dxa"/>
          </w:tblCellMar>
        </w:tblPrEx>
        <w:trPr>
          <w:trHeight w:val="258" w:hRule="atLeast"/>
        </w:trPr>
        <w:tc>
          <w:tcPr>
            <w:tcW w:w="2433" w:type="dxa"/>
            <w:tcBorders>
              <w:top w:val="nil"/>
              <w:left w:val="nil"/>
              <w:bottom w:val="nil"/>
              <w:right w:val="nil"/>
            </w:tcBorders>
            <w:noWrap/>
            <w:vAlign w:val="center"/>
          </w:tcPr>
          <w:p w14:paraId="76CF2C82">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Adjusted R²</w:t>
            </w:r>
          </w:p>
        </w:tc>
        <w:tc>
          <w:tcPr>
            <w:tcW w:w="2487" w:type="dxa"/>
            <w:tcBorders>
              <w:top w:val="nil"/>
              <w:left w:val="nil"/>
              <w:bottom w:val="nil"/>
              <w:right w:val="nil"/>
            </w:tcBorders>
            <w:vAlign w:val="center"/>
          </w:tcPr>
          <w:p w14:paraId="27F2DF91">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0.885</w:t>
            </w:r>
          </w:p>
        </w:tc>
        <w:tc>
          <w:tcPr>
            <w:tcW w:w="1980" w:type="dxa"/>
            <w:tcBorders>
              <w:top w:val="nil"/>
              <w:left w:val="nil"/>
              <w:bottom w:val="nil"/>
              <w:right w:val="nil"/>
            </w:tcBorders>
            <w:noWrap/>
            <w:vAlign w:val="bottom"/>
          </w:tcPr>
          <w:p w14:paraId="718BD0BE">
            <w:pPr>
              <w:spacing w:after="0" w:line="240" w:lineRule="auto"/>
              <w:jc w:val="right"/>
              <w:rPr>
                <w:rFonts w:ascii="Times New Roman" w:hAnsi="Times New Roman" w:eastAsia="Times New Roman" w:cs="Times New Roman"/>
                <w:color w:val="000000"/>
                <w:kern w:val="0"/>
                <w:sz w:val="22"/>
                <w:szCs w:val="22"/>
                <w:lang w:val="en-US"/>
                <w14:ligatures w14:val="none"/>
              </w:rPr>
            </w:pPr>
          </w:p>
        </w:tc>
        <w:tc>
          <w:tcPr>
            <w:tcW w:w="1980" w:type="dxa"/>
            <w:tcBorders>
              <w:top w:val="nil"/>
              <w:left w:val="nil"/>
              <w:bottom w:val="nil"/>
              <w:right w:val="nil"/>
            </w:tcBorders>
            <w:noWrap/>
            <w:vAlign w:val="bottom"/>
          </w:tcPr>
          <w:p w14:paraId="2E743188">
            <w:pPr>
              <w:spacing w:after="0" w:line="240" w:lineRule="auto"/>
              <w:rPr>
                <w:rFonts w:ascii="Times New Roman" w:hAnsi="Times New Roman" w:eastAsia="Times New Roman" w:cs="Times New Roman"/>
                <w:kern w:val="0"/>
                <w:sz w:val="20"/>
                <w:szCs w:val="20"/>
                <w:lang w:val="en-US"/>
                <w14:ligatures w14:val="none"/>
              </w:rPr>
            </w:pPr>
          </w:p>
        </w:tc>
      </w:tr>
      <w:tr w14:paraId="0ED2BF93">
        <w:tblPrEx>
          <w:tblCellMar>
            <w:top w:w="0" w:type="dxa"/>
            <w:left w:w="108" w:type="dxa"/>
            <w:bottom w:w="0" w:type="dxa"/>
            <w:right w:w="108" w:type="dxa"/>
          </w:tblCellMar>
        </w:tblPrEx>
        <w:trPr>
          <w:trHeight w:val="258" w:hRule="atLeast"/>
        </w:trPr>
        <w:tc>
          <w:tcPr>
            <w:tcW w:w="2433" w:type="dxa"/>
            <w:tcBorders>
              <w:top w:val="nil"/>
              <w:left w:val="nil"/>
              <w:bottom w:val="single" w:color="auto" w:sz="4" w:space="0"/>
              <w:right w:val="nil"/>
            </w:tcBorders>
            <w:vAlign w:val="center"/>
          </w:tcPr>
          <w:p w14:paraId="13928B0F">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N</w:t>
            </w:r>
          </w:p>
        </w:tc>
        <w:tc>
          <w:tcPr>
            <w:tcW w:w="2487" w:type="dxa"/>
            <w:tcBorders>
              <w:top w:val="nil"/>
              <w:left w:val="nil"/>
              <w:bottom w:val="single" w:color="auto" w:sz="4" w:space="0"/>
              <w:right w:val="nil"/>
            </w:tcBorders>
            <w:vAlign w:val="center"/>
          </w:tcPr>
          <w:p w14:paraId="24BEC4F1">
            <w:pPr>
              <w:spacing w:after="0" w:line="240" w:lineRule="auto"/>
              <w:jc w:val="right"/>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91</w:t>
            </w:r>
          </w:p>
        </w:tc>
        <w:tc>
          <w:tcPr>
            <w:tcW w:w="1980" w:type="dxa"/>
            <w:tcBorders>
              <w:top w:val="nil"/>
              <w:left w:val="nil"/>
              <w:bottom w:val="single" w:color="auto" w:sz="4" w:space="0"/>
              <w:right w:val="nil"/>
            </w:tcBorders>
            <w:noWrap/>
            <w:vAlign w:val="bottom"/>
          </w:tcPr>
          <w:p w14:paraId="565DFC24">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c>
          <w:tcPr>
            <w:tcW w:w="1980" w:type="dxa"/>
            <w:tcBorders>
              <w:top w:val="nil"/>
              <w:left w:val="nil"/>
              <w:bottom w:val="single" w:color="auto" w:sz="4" w:space="0"/>
              <w:right w:val="nil"/>
            </w:tcBorders>
            <w:noWrap/>
            <w:vAlign w:val="bottom"/>
          </w:tcPr>
          <w:p w14:paraId="4CB1C4E2">
            <w:pPr>
              <w:spacing w:after="0" w:line="240" w:lineRule="auto"/>
              <w:rPr>
                <w:rFonts w:ascii="Times New Roman" w:hAnsi="Times New Roman" w:eastAsia="Times New Roman" w:cs="Times New Roman"/>
                <w:color w:val="000000"/>
                <w:kern w:val="0"/>
                <w:sz w:val="22"/>
                <w:szCs w:val="22"/>
                <w:lang w:val="en-US"/>
                <w14:ligatures w14:val="none"/>
              </w:rPr>
            </w:pPr>
            <w:r>
              <w:rPr>
                <w:rFonts w:ascii="Times New Roman" w:hAnsi="Times New Roman" w:eastAsia="Times New Roman" w:cs="Times New Roman"/>
                <w:color w:val="000000"/>
                <w:kern w:val="0"/>
                <w:sz w:val="22"/>
                <w:szCs w:val="22"/>
                <w:lang w:val="en-US"/>
                <w14:ligatures w14:val="none"/>
              </w:rPr>
              <w:t> </w:t>
            </w:r>
          </w:p>
        </w:tc>
      </w:tr>
    </w:tbl>
    <w:p w14:paraId="2BD4E759">
      <w:pPr>
        <w:spacing w:line="360" w:lineRule="auto"/>
        <w:rPr>
          <w:rFonts w:ascii="Times New Roman" w:hAnsi="Times New Roman" w:cs="Times New Roman"/>
          <w:b/>
          <w:bCs/>
          <w:i/>
          <w:iCs/>
          <w:sz w:val="18"/>
          <w:szCs w:val="18"/>
        </w:rPr>
      </w:pPr>
      <w:r>
        <w:rPr>
          <w:rStyle w:val="20"/>
          <w:rFonts w:ascii="Times New Roman" w:hAnsi="Times New Roman" w:cs="Times New Roman"/>
          <w:b w:val="0"/>
          <w:bCs w:val="0"/>
          <w:i/>
          <w:iCs/>
          <w:sz w:val="18"/>
          <w:szCs w:val="18"/>
        </w:rPr>
        <w:t>Note.</w:t>
      </w:r>
      <w:r>
        <w:rPr>
          <w:rFonts w:ascii="Times New Roman" w:hAnsi="Times New Roman" w:cs="Times New Roman"/>
          <w:b/>
          <w:bCs/>
          <w:i/>
          <w:iCs/>
          <w:sz w:val="18"/>
          <w:szCs w:val="18"/>
        </w:rPr>
        <w:t xml:space="preserve"> Dependent variable is log(GE). Standard errors are nonrobust OLS estimates.</w:t>
      </w:r>
    </w:p>
    <w:p w14:paraId="01A434BC">
      <w:pPr>
        <w:spacing w:line="360" w:lineRule="auto"/>
        <w:jc w:val="both"/>
        <w:rPr>
          <w:rFonts w:ascii="Times New Roman" w:hAnsi="Times New Roman" w:cs="Times New Roman"/>
        </w:rPr>
      </w:pPr>
      <w:r>
        <w:rPr>
          <w:rFonts w:ascii="Times New Roman" w:hAnsi="Times New Roman" w:cs="Times New Roman"/>
        </w:rPr>
        <w:t>The robustness model with lagged CPI illustrates that inflation has remained positively (statistically significant) influencing grocery spending even after a delay of one period (coefficient = 0.0093, p = 0.002). Again income is the best predictor of log(GE) and unemployment does not play a significant role. The model has a high level of explanatory power (R 2 = 0.889) which means that the findings are consistent with the regression of inflation and expenditure, that is, the inflation-expenditure relationship is stable.</w:t>
      </w:r>
    </w:p>
    <w:p w14:paraId="606E82A1">
      <w:pPr>
        <w:spacing w:line="360" w:lineRule="auto"/>
        <w:jc w:val="both"/>
        <w:rPr>
          <w:rFonts w:ascii="Times New Roman" w:hAnsi="Times New Roman" w:cs="Times New Roman"/>
        </w:rPr>
      </w:pPr>
    </w:p>
    <w:p w14:paraId="76D547D8">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Table 8: Sub-Sample Regression Results for log(GE) Before 2008</w:t>
      </w:r>
    </w:p>
    <w:tbl>
      <w:tblPr>
        <w:tblStyle w:val="12"/>
        <w:tblW w:w="8308" w:type="dxa"/>
        <w:tblInd w:w="0" w:type="dxa"/>
        <w:tblLayout w:type="autofit"/>
        <w:tblCellMar>
          <w:top w:w="0" w:type="dxa"/>
          <w:left w:w="108" w:type="dxa"/>
          <w:bottom w:w="0" w:type="dxa"/>
          <w:right w:w="108" w:type="dxa"/>
        </w:tblCellMar>
      </w:tblPr>
      <w:tblGrid>
        <w:gridCol w:w="2277"/>
        <w:gridCol w:w="2327"/>
        <w:gridCol w:w="1852"/>
        <w:gridCol w:w="1852"/>
      </w:tblGrid>
      <w:tr w14:paraId="0CCC5090">
        <w:tblPrEx>
          <w:tblCellMar>
            <w:top w:w="0" w:type="dxa"/>
            <w:left w:w="108" w:type="dxa"/>
            <w:bottom w:w="0" w:type="dxa"/>
            <w:right w:w="108" w:type="dxa"/>
          </w:tblCellMar>
        </w:tblPrEx>
        <w:trPr>
          <w:trHeight w:val="293" w:hRule="atLeast"/>
        </w:trPr>
        <w:tc>
          <w:tcPr>
            <w:tcW w:w="2277" w:type="dxa"/>
            <w:tcBorders>
              <w:top w:val="single" w:color="auto" w:sz="4" w:space="0"/>
              <w:left w:val="nil"/>
              <w:bottom w:val="single" w:color="auto" w:sz="4" w:space="0"/>
              <w:right w:val="nil"/>
            </w:tcBorders>
            <w:noWrap/>
            <w:vAlign w:val="center"/>
          </w:tcPr>
          <w:p w14:paraId="103DCC5E">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Predictor</w:t>
            </w:r>
          </w:p>
        </w:tc>
        <w:tc>
          <w:tcPr>
            <w:tcW w:w="2327" w:type="dxa"/>
            <w:tcBorders>
              <w:top w:val="single" w:color="auto" w:sz="4" w:space="0"/>
              <w:left w:val="nil"/>
              <w:bottom w:val="single" w:color="auto" w:sz="4" w:space="0"/>
              <w:right w:val="nil"/>
            </w:tcBorders>
            <w:noWrap/>
            <w:vAlign w:val="center"/>
          </w:tcPr>
          <w:p w14:paraId="0780F7F9">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Coefficient</w:t>
            </w:r>
          </w:p>
        </w:tc>
        <w:tc>
          <w:tcPr>
            <w:tcW w:w="1852" w:type="dxa"/>
            <w:tcBorders>
              <w:top w:val="single" w:color="auto" w:sz="4" w:space="0"/>
              <w:left w:val="nil"/>
              <w:bottom w:val="single" w:color="auto" w:sz="4" w:space="0"/>
              <w:right w:val="nil"/>
            </w:tcBorders>
            <w:noWrap/>
            <w:vAlign w:val="center"/>
          </w:tcPr>
          <w:p w14:paraId="7885E616">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Std. Error</w:t>
            </w:r>
          </w:p>
        </w:tc>
        <w:tc>
          <w:tcPr>
            <w:tcW w:w="1852" w:type="dxa"/>
            <w:tcBorders>
              <w:top w:val="single" w:color="auto" w:sz="4" w:space="0"/>
              <w:left w:val="nil"/>
              <w:bottom w:val="single" w:color="auto" w:sz="4" w:space="0"/>
              <w:right w:val="nil"/>
            </w:tcBorders>
            <w:vAlign w:val="center"/>
          </w:tcPr>
          <w:p w14:paraId="374C0248">
            <w:pPr>
              <w:spacing w:after="0" w:line="240" w:lineRule="auto"/>
              <w:jc w:val="center"/>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p</w:t>
            </w:r>
          </w:p>
        </w:tc>
      </w:tr>
      <w:tr w14:paraId="3048C87F">
        <w:tblPrEx>
          <w:tblCellMar>
            <w:top w:w="0" w:type="dxa"/>
            <w:left w:w="108" w:type="dxa"/>
            <w:bottom w:w="0" w:type="dxa"/>
            <w:right w:w="108" w:type="dxa"/>
          </w:tblCellMar>
        </w:tblPrEx>
        <w:trPr>
          <w:trHeight w:val="293" w:hRule="atLeast"/>
        </w:trPr>
        <w:tc>
          <w:tcPr>
            <w:tcW w:w="2277" w:type="dxa"/>
            <w:tcBorders>
              <w:top w:val="nil"/>
              <w:left w:val="nil"/>
              <w:bottom w:val="nil"/>
              <w:right w:val="nil"/>
            </w:tcBorders>
            <w:vAlign w:val="center"/>
          </w:tcPr>
          <w:p w14:paraId="4AC14E4D">
            <w:pPr>
              <w:spacing w:after="0" w:line="240" w:lineRule="auto"/>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Intercept</w:t>
            </w:r>
          </w:p>
        </w:tc>
        <w:tc>
          <w:tcPr>
            <w:tcW w:w="2327" w:type="dxa"/>
            <w:tcBorders>
              <w:top w:val="nil"/>
              <w:left w:val="nil"/>
              <w:bottom w:val="nil"/>
              <w:right w:val="nil"/>
            </w:tcBorders>
            <w:vAlign w:val="center"/>
          </w:tcPr>
          <w:p w14:paraId="7D0EE0D9">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-6.11</w:t>
            </w:r>
          </w:p>
        </w:tc>
        <w:tc>
          <w:tcPr>
            <w:tcW w:w="1852" w:type="dxa"/>
            <w:tcBorders>
              <w:top w:val="nil"/>
              <w:left w:val="nil"/>
              <w:bottom w:val="nil"/>
              <w:right w:val="nil"/>
            </w:tcBorders>
            <w:vAlign w:val="center"/>
          </w:tcPr>
          <w:p w14:paraId="4E58F326">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0.78</w:t>
            </w:r>
          </w:p>
        </w:tc>
        <w:tc>
          <w:tcPr>
            <w:tcW w:w="1852" w:type="dxa"/>
            <w:tcBorders>
              <w:top w:val="nil"/>
              <w:left w:val="nil"/>
              <w:bottom w:val="nil"/>
              <w:right w:val="nil"/>
            </w:tcBorders>
            <w:vAlign w:val="center"/>
          </w:tcPr>
          <w:p w14:paraId="066A1542">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0.001</w:t>
            </w:r>
          </w:p>
        </w:tc>
      </w:tr>
      <w:tr w14:paraId="13CF80E4">
        <w:tblPrEx>
          <w:tblCellMar>
            <w:top w:w="0" w:type="dxa"/>
            <w:left w:w="108" w:type="dxa"/>
            <w:bottom w:w="0" w:type="dxa"/>
            <w:right w:w="108" w:type="dxa"/>
          </w:tblCellMar>
        </w:tblPrEx>
        <w:trPr>
          <w:trHeight w:val="293" w:hRule="atLeast"/>
        </w:trPr>
        <w:tc>
          <w:tcPr>
            <w:tcW w:w="2277" w:type="dxa"/>
            <w:tcBorders>
              <w:top w:val="nil"/>
              <w:left w:val="nil"/>
              <w:bottom w:val="nil"/>
              <w:right w:val="nil"/>
            </w:tcBorders>
            <w:vAlign w:val="center"/>
          </w:tcPr>
          <w:p w14:paraId="0988A1DC">
            <w:pPr>
              <w:spacing w:after="0" w:line="240" w:lineRule="auto"/>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CPI</w:t>
            </w:r>
          </w:p>
        </w:tc>
        <w:tc>
          <w:tcPr>
            <w:tcW w:w="2327" w:type="dxa"/>
            <w:tcBorders>
              <w:top w:val="nil"/>
              <w:left w:val="nil"/>
              <w:bottom w:val="nil"/>
              <w:right w:val="nil"/>
            </w:tcBorders>
            <w:vAlign w:val="center"/>
          </w:tcPr>
          <w:p w14:paraId="68D8081A">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-0.001</w:t>
            </w:r>
          </w:p>
        </w:tc>
        <w:tc>
          <w:tcPr>
            <w:tcW w:w="1852" w:type="dxa"/>
            <w:tcBorders>
              <w:top w:val="nil"/>
              <w:left w:val="nil"/>
              <w:bottom w:val="nil"/>
              <w:right w:val="nil"/>
            </w:tcBorders>
            <w:vAlign w:val="center"/>
          </w:tcPr>
          <w:p w14:paraId="6003CA32">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0.002</w:t>
            </w:r>
          </w:p>
        </w:tc>
        <w:tc>
          <w:tcPr>
            <w:tcW w:w="1852" w:type="dxa"/>
            <w:tcBorders>
              <w:top w:val="nil"/>
              <w:left w:val="nil"/>
              <w:bottom w:val="nil"/>
              <w:right w:val="nil"/>
            </w:tcBorders>
            <w:vAlign w:val="center"/>
          </w:tcPr>
          <w:p w14:paraId="25BE3944">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0.631</w:t>
            </w:r>
          </w:p>
        </w:tc>
      </w:tr>
      <w:tr w14:paraId="6B9B92FD">
        <w:tblPrEx>
          <w:tblCellMar>
            <w:top w:w="0" w:type="dxa"/>
            <w:left w:w="108" w:type="dxa"/>
            <w:bottom w:w="0" w:type="dxa"/>
            <w:right w:w="108" w:type="dxa"/>
          </w:tblCellMar>
        </w:tblPrEx>
        <w:trPr>
          <w:trHeight w:val="293" w:hRule="atLeast"/>
        </w:trPr>
        <w:tc>
          <w:tcPr>
            <w:tcW w:w="2277" w:type="dxa"/>
            <w:tcBorders>
              <w:top w:val="nil"/>
              <w:left w:val="nil"/>
              <w:bottom w:val="nil"/>
              <w:right w:val="nil"/>
            </w:tcBorders>
            <w:vAlign w:val="center"/>
          </w:tcPr>
          <w:p w14:paraId="56563444">
            <w:pPr>
              <w:spacing w:after="0" w:line="240" w:lineRule="auto"/>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log_INC</w:t>
            </w:r>
          </w:p>
        </w:tc>
        <w:tc>
          <w:tcPr>
            <w:tcW w:w="2327" w:type="dxa"/>
            <w:tcBorders>
              <w:top w:val="nil"/>
              <w:left w:val="nil"/>
              <w:bottom w:val="nil"/>
              <w:right w:val="nil"/>
            </w:tcBorders>
            <w:vAlign w:val="center"/>
          </w:tcPr>
          <w:p w14:paraId="6F57E0ED">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1.86</w:t>
            </w:r>
          </w:p>
        </w:tc>
        <w:tc>
          <w:tcPr>
            <w:tcW w:w="1852" w:type="dxa"/>
            <w:tcBorders>
              <w:top w:val="nil"/>
              <w:left w:val="nil"/>
              <w:bottom w:val="nil"/>
              <w:right w:val="nil"/>
            </w:tcBorders>
            <w:vAlign w:val="center"/>
          </w:tcPr>
          <w:p w14:paraId="2E8445F4">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0.09</w:t>
            </w:r>
          </w:p>
        </w:tc>
        <w:tc>
          <w:tcPr>
            <w:tcW w:w="1852" w:type="dxa"/>
            <w:tcBorders>
              <w:top w:val="nil"/>
              <w:left w:val="nil"/>
              <w:bottom w:val="nil"/>
              <w:right w:val="nil"/>
            </w:tcBorders>
            <w:vAlign w:val="center"/>
          </w:tcPr>
          <w:p w14:paraId="4DBF28EE">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0.001</w:t>
            </w:r>
          </w:p>
        </w:tc>
      </w:tr>
      <w:tr w14:paraId="5D591D54">
        <w:tblPrEx>
          <w:tblCellMar>
            <w:top w:w="0" w:type="dxa"/>
            <w:left w:w="108" w:type="dxa"/>
            <w:bottom w:w="0" w:type="dxa"/>
            <w:right w:w="108" w:type="dxa"/>
          </w:tblCellMar>
        </w:tblPrEx>
        <w:trPr>
          <w:trHeight w:val="293" w:hRule="atLeast"/>
        </w:trPr>
        <w:tc>
          <w:tcPr>
            <w:tcW w:w="2277" w:type="dxa"/>
            <w:tcBorders>
              <w:top w:val="nil"/>
              <w:left w:val="nil"/>
              <w:bottom w:val="single" w:color="auto" w:sz="4" w:space="0"/>
              <w:right w:val="nil"/>
            </w:tcBorders>
            <w:vAlign w:val="center"/>
          </w:tcPr>
          <w:p w14:paraId="43BC4C94">
            <w:pPr>
              <w:spacing w:after="0" w:line="240" w:lineRule="auto"/>
              <w:rPr>
                <w:rFonts w:ascii="Times New Roman" w:hAnsi="Times New Roman" w:eastAsia="Times New Roman" w:cs="Times New Roman"/>
                <w:b/>
                <w:bCs/>
                <w:color w:val="000000"/>
                <w:kern w:val="0"/>
                <w:sz w:val="20"/>
                <w:szCs w:val="20"/>
                <w:lang w:val="en-US"/>
                <w14:ligatures w14:val="none"/>
              </w:rPr>
            </w:pPr>
            <w:r>
              <w:rPr>
                <w:rFonts w:ascii="Times New Roman" w:hAnsi="Times New Roman" w:eastAsia="Times New Roman" w:cs="Times New Roman"/>
                <w:b/>
                <w:bCs/>
                <w:color w:val="000000"/>
                <w:kern w:val="0"/>
                <w:sz w:val="20"/>
                <w:szCs w:val="20"/>
                <w:lang w:val="en-US"/>
                <w14:ligatures w14:val="none"/>
              </w:rPr>
              <w:t>UR</w:t>
            </w:r>
          </w:p>
        </w:tc>
        <w:tc>
          <w:tcPr>
            <w:tcW w:w="2327" w:type="dxa"/>
            <w:tcBorders>
              <w:top w:val="nil"/>
              <w:left w:val="nil"/>
              <w:bottom w:val="single" w:color="auto" w:sz="4" w:space="0"/>
              <w:right w:val="nil"/>
            </w:tcBorders>
            <w:vAlign w:val="center"/>
          </w:tcPr>
          <w:p w14:paraId="136C3B63">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0.0045</w:t>
            </w:r>
          </w:p>
        </w:tc>
        <w:tc>
          <w:tcPr>
            <w:tcW w:w="1852" w:type="dxa"/>
            <w:tcBorders>
              <w:top w:val="nil"/>
              <w:left w:val="nil"/>
              <w:bottom w:val="single" w:color="auto" w:sz="4" w:space="0"/>
              <w:right w:val="nil"/>
            </w:tcBorders>
            <w:vAlign w:val="center"/>
          </w:tcPr>
          <w:p w14:paraId="3DE34C9E">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0.01</w:t>
            </w:r>
          </w:p>
        </w:tc>
        <w:tc>
          <w:tcPr>
            <w:tcW w:w="1852" w:type="dxa"/>
            <w:tcBorders>
              <w:top w:val="nil"/>
              <w:left w:val="nil"/>
              <w:bottom w:val="single" w:color="auto" w:sz="4" w:space="0"/>
              <w:right w:val="nil"/>
            </w:tcBorders>
            <w:vAlign w:val="center"/>
          </w:tcPr>
          <w:p w14:paraId="7EF63A33">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0.693</w:t>
            </w:r>
          </w:p>
        </w:tc>
      </w:tr>
      <w:tr w14:paraId="2F437741">
        <w:tblPrEx>
          <w:tblCellMar>
            <w:top w:w="0" w:type="dxa"/>
            <w:left w:w="108" w:type="dxa"/>
            <w:bottom w:w="0" w:type="dxa"/>
            <w:right w:w="108" w:type="dxa"/>
          </w:tblCellMar>
        </w:tblPrEx>
        <w:trPr>
          <w:trHeight w:val="293" w:hRule="atLeast"/>
        </w:trPr>
        <w:tc>
          <w:tcPr>
            <w:tcW w:w="2277" w:type="dxa"/>
            <w:tcBorders>
              <w:top w:val="nil"/>
              <w:left w:val="nil"/>
              <w:bottom w:val="nil"/>
              <w:right w:val="nil"/>
            </w:tcBorders>
            <w:vAlign w:val="center"/>
          </w:tcPr>
          <w:p w14:paraId="7A66621A">
            <w:pPr>
              <w:spacing w:after="0" w:line="240" w:lineRule="auto"/>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R²</w:t>
            </w:r>
          </w:p>
        </w:tc>
        <w:tc>
          <w:tcPr>
            <w:tcW w:w="2327" w:type="dxa"/>
            <w:tcBorders>
              <w:top w:val="nil"/>
              <w:left w:val="nil"/>
              <w:bottom w:val="nil"/>
              <w:right w:val="nil"/>
            </w:tcBorders>
            <w:noWrap/>
            <w:vAlign w:val="bottom"/>
          </w:tcPr>
          <w:p w14:paraId="22B80190">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0.953</w:t>
            </w:r>
          </w:p>
        </w:tc>
        <w:tc>
          <w:tcPr>
            <w:tcW w:w="1852" w:type="dxa"/>
            <w:tcBorders>
              <w:top w:val="nil"/>
              <w:left w:val="nil"/>
              <w:bottom w:val="nil"/>
              <w:right w:val="nil"/>
            </w:tcBorders>
            <w:noWrap/>
            <w:vAlign w:val="bottom"/>
          </w:tcPr>
          <w:p w14:paraId="5D4BF8D0">
            <w:pPr>
              <w:spacing w:after="0" w:line="240" w:lineRule="auto"/>
              <w:jc w:val="right"/>
              <w:rPr>
                <w:rFonts w:ascii="Times New Roman" w:hAnsi="Times New Roman" w:eastAsia="Times New Roman" w:cs="Times New Roman"/>
                <w:color w:val="000000"/>
                <w:kern w:val="0"/>
                <w:sz w:val="20"/>
                <w:szCs w:val="20"/>
                <w:lang w:val="en-US"/>
                <w14:ligatures w14:val="none"/>
              </w:rPr>
            </w:pPr>
          </w:p>
        </w:tc>
        <w:tc>
          <w:tcPr>
            <w:tcW w:w="1852" w:type="dxa"/>
            <w:tcBorders>
              <w:top w:val="nil"/>
              <w:left w:val="nil"/>
              <w:bottom w:val="nil"/>
              <w:right w:val="nil"/>
            </w:tcBorders>
            <w:noWrap/>
            <w:vAlign w:val="bottom"/>
          </w:tcPr>
          <w:p w14:paraId="76EEBE4D">
            <w:pPr>
              <w:spacing w:after="0" w:line="240" w:lineRule="auto"/>
              <w:rPr>
                <w:rFonts w:ascii="Times New Roman" w:hAnsi="Times New Roman" w:eastAsia="Times New Roman" w:cs="Times New Roman"/>
                <w:kern w:val="0"/>
                <w:sz w:val="20"/>
                <w:szCs w:val="20"/>
                <w:lang w:val="en-US"/>
                <w14:ligatures w14:val="none"/>
              </w:rPr>
            </w:pPr>
          </w:p>
        </w:tc>
      </w:tr>
      <w:tr w14:paraId="4FD5CA46">
        <w:tblPrEx>
          <w:tblCellMar>
            <w:top w:w="0" w:type="dxa"/>
            <w:left w:w="108" w:type="dxa"/>
            <w:bottom w:w="0" w:type="dxa"/>
            <w:right w:w="108" w:type="dxa"/>
          </w:tblCellMar>
        </w:tblPrEx>
        <w:trPr>
          <w:trHeight w:val="293" w:hRule="atLeast"/>
        </w:trPr>
        <w:tc>
          <w:tcPr>
            <w:tcW w:w="2277" w:type="dxa"/>
            <w:tcBorders>
              <w:top w:val="nil"/>
              <w:left w:val="nil"/>
              <w:bottom w:val="nil"/>
              <w:right w:val="nil"/>
            </w:tcBorders>
            <w:noWrap/>
            <w:vAlign w:val="center"/>
          </w:tcPr>
          <w:p w14:paraId="2C92C851">
            <w:pPr>
              <w:spacing w:after="0" w:line="240" w:lineRule="auto"/>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Adjusted R²</w:t>
            </w:r>
          </w:p>
        </w:tc>
        <w:tc>
          <w:tcPr>
            <w:tcW w:w="2327" w:type="dxa"/>
            <w:tcBorders>
              <w:top w:val="nil"/>
              <w:left w:val="nil"/>
              <w:bottom w:val="nil"/>
              <w:right w:val="nil"/>
            </w:tcBorders>
            <w:noWrap/>
            <w:vAlign w:val="bottom"/>
          </w:tcPr>
          <w:p w14:paraId="7981F941">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0.948</w:t>
            </w:r>
          </w:p>
        </w:tc>
        <w:tc>
          <w:tcPr>
            <w:tcW w:w="1852" w:type="dxa"/>
            <w:tcBorders>
              <w:top w:val="nil"/>
              <w:left w:val="nil"/>
              <w:bottom w:val="nil"/>
              <w:right w:val="nil"/>
            </w:tcBorders>
            <w:noWrap/>
            <w:vAlign w:val="bottom"/>
          </w:tcPr>
          <w:p w14:paraId="4556EF5B">
            <w:pPr>
              <w:spacing w:after="0" w:line="240" w:lineRule="auto"/>
              <w:jc w:val="right"/>
              <w:rPr>
                <w:rFonts w:ascii="Times New Roman" w:hAnsi="Times New Roman" w:eastAsia="Times New Roman" w:cs="Times New Roman"/>
                <w:color w:val="000000"/>
                <w:kern w:val="0"/>
                <w:sz w:val="20"/>
                <w:szCs w:val="20"/>
                <w:lang w:val="en-US"/>
                <w14:ligatures w14:val="none"/>
              </w:rPr>
            </w:pPr>
          </w:p>
        </w:tc>
        <w:tc>
          <w:tcPr>
            <w:tcW w:w="1852" w:type="dxa"/>
            <w:tcBorders>
              <w:top w:val="nil"/>
              <w:left w:val="nil"/>
              <w:bottom w:val="nil"/>
              <w:right w:val="nil"/>
            </w:tcBorders>
            <w:noWrap/>
            <w:vAlign w:val="bottom"/>
          </w:tcPr>
          <w:p w14:paraId="5D63A5A6">
            <w:pPr>
              <w:spacing w:after="0" w:line="240" w:lineRule="auto"/>
              <w:rPr>
                <w:rFonts w:ascii="Times New Roman" w:hAnsi="Times New Roman" w:eastAsia="Times New Roman" w:cs="Times New Roman"/>
                <w:kern w:val="0"/>
                <w:sz w:val="20"/>
                <w:szCs w:val="20"/>
                <w:lang w:val="en-US"/>
                <w14:ligatures w14:val="none"/>
              </w:rPr>
            </w:pPr>
          </w:p>
        </w:tc>
      </w:tr>
      <w:tr w14:paraId="3C719FA9">
        <w:tblPrEx>
          <w:tblCellMar>
            <w:top w:w="0" w:type="dxa"/>
            <w:left w:w="108" w:type="dxa"/>
            <w:bottom w:w="0" w:type="dxa"/>
            <w:right w:w="108" w:type="dxa"/>
          </w:tblCellMar>
        </w:tblPrEx>
        <w:trPr>
          <w:trHeight w:val="293" w:hRule="atLeast"/>
        </w:trPr>
        <w:tc>
          <w:tcPr>
            <w:tcW w:w="2277" w:type="dxa"/>
            <w:tcBorders>
              <w:top w:val="nil"/>
              <w:left w:val="nil"/>
              <w:bottom w:val="single" w:color="auto" w:sz="4" w:space="0"/>
              <w:right w:val="nil"/>
            </w:tcBorders>
            <w:vAlign w:val="center"/>
          </w:tcPr>
          <w:p w14:paraId="5AC14BF5">
            <w:pPr>
              <w:spacing w:after="0" w:line="240" w:lineRule="auto"/>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N</w:t>
            </w:r>
          </w:p>
        </w:tc>
        <w:tc>
          <w:tcPr>
            <w:tcW w:w="2327" w:type="dxa"/>
            <w:tcBorders>
              <w:top w:val="nil"/>
              <w:left w:val="nil"/>
              <w:bottom w:val="single" w:color="auto" w:sz="4" w:space="0"/>
              <w:right w:val="nil"/>
            </w:tcBorders>
            <w:vAlign w:val="center"/>
          </w:tcPr>
          <w:p w14:paraId="27CACD1D">
            <w:pPr>
              <w:spacing w:after="0" w:line="240" w:lineRule="auto"/>
              <w:jc w:val="right"/>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31</w:t>
            </w:r>
          </w:p>
        </w:tc>
        <w:tc>
          <w:tcPr>
            <w:tcW w:w="1852" w:type="dxa"/>
            <w:tcBorders>
              <w:top w:val="nil"/>
              <w:left w:val="nil"/>
              <w:bottom w:val="single" w:color="auto" w:sz="4" w:space="0"/>
              <w:right w:val="nil"/>
            </w:tcBorders>
            <w:noWrap/>
            <w:vAlign w:val="bottom"/>
          </w:tcPr>
          <w:p w14:paraId="3E59F888">
            <w:pPr>
              <w:spacing w:after="0" w:line="240" w:lineRule="auto"/>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 </w:t>
            </w:r>
          </w:p>
        </w:tc>
        <w:tc>
          <w:tcPr>
            <w:tcW w:w="1852" w:type="dxa"/>
            <w:tcBorders>
              <w:top w:val="nil"/>
              <w:left w:val="nil"/>
              <w:bottom w:val="single" w:color="auto" w:sz="4" w:space="0"/>
              <w:right w:val="nil"/>
            </w:tcBorders>
            <w:noWrap/>
            <w:vAlign w:val="bottom"/>
          </w:tcPr>
          <w:p w14:paraId="26A52D06">
            <w:pPr>
              <w:spacing w:after="0" w:line="240" w:lineRule="auto"/>
              <w:rPr>
                <w:rFonts w:ascii="Times New Roman" w:hAnsi="Times New Roman" w:eastAsia="Times New Roman" w:cs="Times New Roman"/>
                <w:color w:val="000000"/>
                <w:kern w:val="0"/>
                <w:sz w:val="20"/>
                <w:szCs w:val="20"/>
                <w:lang w:val="en-US"/>
                <w14:ligatures w14:val="none"/>
              </w:rPr>
            </w:pPr>
            <w:r>
              <w:rPr>
                <w:rFonts w:ascii="Times New Roman" w:hAnsi="Times New Roman" w:eastAsia="Times New Roman" w:cs="Times New Roman"/>
                <w:color w:val="000000"/>
                <w:kern w:val="0"/>
                <w:sz w:val="20"/>
                <w:szCs w:val="20"/>
                <w:lang w:val="en-US"/>
                <w14:ligatures w14:val="none"/>
              </w:rPr>
              <w:t> </w:t>
            </w:r>
          </w:p>
        </w:tc>
      </w:tr>
    </w:tbl>
    <w:p w14:paraId="3D6BD569">
      <w:pPr>
        <w:pStyle w:val="18"/>
        <w:spacing w:line="360" w:lineRule="auto"/>
        <w:jc w:val="both"/>
      </w:pPr>
      <w:r>
        <w:t>The lagged CPI model of robustness indicates that the inflation still has a positive statistically significant impact on the spending on groceries even on a one-period lagged measure (coefficient = 0.0093, p = 0.002). The best predictor of the log(GE) is again income and unemployment does not have any significant impact. The model has a strong explanatory power (R² = 0.953), which means that the findings are in line with the primary regression and prove that the inflation-expenditure relationship is stable.</w:t>
      </w:r>
    </w:p>
    <w:p w14:paraId="3BD4CB1F">
      <w:pPr>
        <w:pStyle w:val="3"/>
      </w:pPr>
      <w:bookmarkStart w:id="22" w:name="_Toc218351985"/>
      <w:r>
        <w:t>6.4 Discussion of Findings</w:t>
      </w:r>
      <w:bookmarkEnd w:id="22"/>
    </w:p>
    <w:p w14:paraId="00444BD8">
      <w:pPr>
        <w:pStyle w:val="18"/>
        <w:spacing w:line="360" w:lineRule="auto"/>
        <w:jc w:val="both"/>
      </w:pPr>
      <w:r>
        <w:t>The results of the research indicate some valuable facts on adjustment of the household in UK on the allocation of their expenditure on grocery, both on the short term and the long term. The baseline regression findings indicate that inflation (CPI) cannot explain a significant variation of grocery spending on its own. But after the entry of income and unemployment the CPI is statistically significant and positive predictor of the nominal grocery spending. This finding is in close agreement with available literatures, which indicate that inflation is only interesting when purchasing power and labour-market factors are considered in consumer expenditure models (Gujarati and Porter, 2009; Stock and Watson, 2015).</w:t>
      </w:r>
    </w:p>
    <w:p w14:paraId="425A1C77">
      <w:pPr>
        <w:pStyle w:val="18"/>
        <w:spacing w:line="360" w:lineRule="auto"/>
        <w:jc w:val="both"/>
      </w:pPr>
      <w:r>
        <w:t>The positive impact of income on the expenditure on groceries is also in line with earlier UK findings that changes in household consumption, food expenditure included, are predominantly predetermined by the dynamics of real income instead of single price variation (Carruth and Dickerson, 2003; Muellbauer, 2016). Consistent with the theory of household optimization proposed by Becker (1965), the findings indicate that the food expenditure being a need good and relatively price inelastic is less sensitive to the variations in prices and more sensitive to variations in disposable income. This interpretation is also further supported by the fact that the unemployment rate plays a minimal role and this implies that macroeconomic shocks in the labor market do not promptly convert into shifts in food consumption behavior.</w:t>
      </w:r>
    </w:p>
    <w:p w14:paraId="64082A38">
      <w:pPr>
        <w:pStyle w:val="18"/>
        <w:spacing w:line="360" w:lineRule="auto"/>
        <w:jc w:val="both"/>
      </w:pPr>
      <w:r>
        <w:t>The other important comment is that there is high likelihood of autocorrelated and heteroskedastic regression residues, implying that the trend in the spending of groceries has a consistent upward and downward trend over an extended period. The observation goes along with the UK data of the past years indicating property food spending growth related to structural income growth and slow consumption shifts (Davies, 2021; ONS, 2023). The lagged CPI robustness check ascertains that inflation affects grocery expenditure with a lag, which is equivalent to the slow household reaction to rise in prices recorded on inflation-adjustment studies (Buss and Wallner, 2022).</w:t>
      </w:r>
    </w:p>
    <w:p w14:paraId="0478B3ED">
      <w:pPr>
        <w:pStyle w:val="18"/>
        <w:spacing w:line="360" w:lineRule="auto"/>
        <w:jc w:val="both"/>
      </w:pPr>
      <w:r>
        <w:t>Policy wise, the findings suggest the need to stabilize real household income at times of inflation. Interventions, including focused cost-of-living support, increased welfare payments, and wage-indexation measures would allow households to be able to afford more of the essential food items in case of a price increase because income is the most important determinant of grocery spending. In the case of retailers, the implications of the results are that consumer behavior is highly responsive to variations in disposable income than spikes in inflation in the short-term. It implies that supermarkets can enjoy the advantages of value range strategies, promotion of multibuy deals, and the use of their own-label products when economic pressure is high.</w:t>
      </w:r>
    </w:p>
    <w:p w14:paraId="7BBA69D7">
      <w:pPr>
        <w:pStyle w:val="2"/>
      </w:pPr>
      <w:bookmarkStart w:id="23" w:name="_Toc218351986"/>
      <w:r>
        <w:t>7. Expected Conclusions</w:t>
      </w:r>
      <w:bookmarkEnd w:id="23"/>
    </w:p>
    <w:p w14:paraId="493F2A30">
      <w:pPr>
        <w:pStyle w:val="3"/>
      </w:pPr>
      <w:bookmarkStart w:id="24" w:name="_Toc218351987"/>
      <w:r>
        <w:t>7.1 Summary of Key Findings</w:t>
      </w:r>
      <w:bookmarkEnd w:id="24"/>
    </w:p>
    <w:p w14:paraId="7C4F0F33">
      <w:pPr>
        <w:pStyle w:val="18"/>
        <w:spacing w:line="360" w:lineRule="auto"/>
        <w:jc w:val="both"/>
      </w:pPr>
      <w:r>
        <w:t>This paper aimed at investigating the connection between inflation and grocery expenditure in the UK between 2000 and 2023 based on time-series econometric analysis. There are important findings made in the analysis. Firstly, inflation (CPI), by itself is not a major predictor of the change in the amount of money spent on groceries, however, CPI is a positive predictor when household income and unemployment are included. It means that the effect of inflation on grocery expenditure is contingent upon the state of the economy, particularly income. The influence of income is always the most decisive factor on the household expenditure on groceries, which illustrates the key role of income to form the ability to consume. By comparison, unemployment is not a very powerful explanatory variable.</w:t>
      </w:r>
    </w:p>
    <w:p w14:paraId="7FCE086A">
      <w:pPr>
        <w:pStyle w:val="18"/>
        <w:spacing w:line="360" w:lineRule="auto"/>
        <w:jc w:val="both"/>
      </w:pPr>
      <w:r>
        <w:t>The diagnostic tests indicate that the data series are not stationary on the levels, which means that they need to be transformed in order to guarantee that the estimates made are valid through regression. Diagnostic results of residual show that there is autocorrelation and heteroskedasticity, which means that grocery spending is subject to unchanging patterns and does not respond to economic shocks in an even manner. The lagged CPI robustness test proves the fact that inflation has an impact on grocery expenditure even after a delay, and it supports the stability of the central findings. Sub-sample analysis also reveals that until the year 2008, the income factor had dominated the expenditure on grocery goods with no statistically significant contribution by inflation.</w:t>
      </w:r>
    </w:p>
    <w:p w14:paraId="4112CA23">
      <w:pPr>
        <w:pStyle w:val="18"/>
        <w:spacing w:line="360" w:lineRule="auto"/>
        <w:jc w:val="both"/>
      </w:pPr>
      <w:r>
        <w:t>Generally, the findings indicate that inflation influences the expenditure in the groceries not solely by the impact on the household income but also by the direct price impact. This proves the theory of economics that suggests that households spend slowly and switch to the essential goods even in the time of rise in inflation.</w:t>
      </w:r>
    </w:p>
    <w:p w14:paraId="655AE5A2">
      <w:pPr>
        <w:pStyle w:val="3"/>
      </w:pPr>
      <w:bookmarkStart w:id="25" w:name="_Toc218351988"/>
      <w:r>
        <w:t>7.2 Implications (Policy, Retail, Consumer Behaviour)</w:t>
      </w:r>
      <w:bookmarkEnd w:id="25"/>
    </w:p>
    <w:p w14:paraId="1441D24E">
      <w:pPr>
        <w:pStyle w:val="18"/>
        <w:spacing w:line="360" w:lineRule="auto"/>
        <w:jc w:val="both"/>
      </w:pPr>
      <w:r>
        <w:t>The implications of the findings have a number of practical implications. The core position of the income means that saving the purchasing power of households is the priority of the policy makers in times of inflation. Interventions like indexation of benefits, wage support and targeted cost of living payments can be used in alleviating the impacts of increases in prices of basic food consumption. The fact that unemployment lacks short-term effects on grocery expenditure implies that policies designed to stabilize real income can have a more significant effect as compared to more general labour-market interventions in solving the food affordability problem.</w:t>
      </w:r>
    </w:p>
    <w:p w14:paraId="46A143D6">
      <w:pPr>
        <w:pStyle w:val="18"/>
        <w:spacing w:line="360" w:lineRule="auto"/>
        <w:jc w:val="both"/>
      </w:pPr>
      <w:r>
        <w:t>In the case of the retail sector, the findings indicate that consumer expenditure on the groceries is more responsive to alterations in disposable income than to the changes in prices. The retailers can thus take advantage of the strategies which facilitate households to cope with the perceived cost pressures like expansion of value range, provision of competitive own-label products, and promotion which encourages low budget purchase.</w:t>
      </w:r>
    </w:p>
    <w:p w14:paraId="427B141D">
      <w:pPr>
        <w:pStyle w:val="18"/>
        <w:spacing w:line="360" w:lineRule="auto"/>
        <w:jc w:val="both"/>
      </w:pPr>
      <w:r>
        <w:t>Regarding the consumer behavior, the results support the concept that the household adjusts to inflation by substitution and budgeting instead of decreasing the overall food spending. This is a sign of the necessity which is quite inelastic spending on groceries. The knowledge of such patterns of behavior will assist policy makers and retailers in predicting changes in demand in the next wave of inflation.</w:t>
      </w:r>
    </w:p>
    <w:p w14:paraId="26FD01FC">
      <w:pPr>
        <w:pStyle w:val="3"/>
      </w:pPr>
      <w:bookmarkStart w:id="26" w:name="_Toc218351989"/>
      <w:r>
        <w:t>7.3 Limitations of the Study</w:t>
      </w:r>
      <w:bookmarkEnd w:id="26"/>
    </w:p>
    <w:p w14:paraId="32A0869D">
      <w:pPr>
        <w:pStyle w:val="18"/>
        <w:spacing w:line="360" w:lineRule="auto"/>
        <w:jc w:val="both"/>
      </w:pPr>
      <w:r>
        <w:t>Despite the fact that this study presents useful information on the links between inflation and grocery expenditures in the United Kingdom, there are a number of limitations that one would like to acknowledge. To start with, the analytic method is based on secondary sources of statistics of countries, which limits the research to the available variables and measurement periods. Quarterly data is appropriate in the long-run but can fail to capture short-run adjustments in household behavior and direct impacts on price changes. More micro-level monthly or household-level granular data would provide a better insight into behavioral responses.</w:t>
      </w:r>
    </w:p>
    <w:p w14:paraId="3A130FDD">
      <w:pPr>
        <w:pStyle w:val="18"/>
        <w:spacing w:line="360" w:lineRule="auto"/>
        <w:jc w:val="both"/>
      </w:pPr>
      <w:r>
        <w:t>Second, the research is based on the aggregate national spending on food and non-alcoholic beverages. This generalized step is not inclusive of heterogeneity among population groups, income, and regions. Previous studies show that the impact of inflation is greater on the lower-income households and their consumption behaviors are altered in a different manner than those of the higher-income households. This is because it is impossible to investigate such distributional effects due to the inability to disaggregate spending.</w:t>
      </w:r>
    </w:p>
    <w:p w14:paraId="4071F426">
      <w:pPr>
        <w:pStyle w:val="18"/>
        <w:spacing w:line="360" w:lineRule="auto"/>
        <w:jc w:val="both"/>
      </w:pPr>
      <w:r>
        <w:t>Third, despite the fact that the econometric models used the inflation, income, and unemployment, other potentially significant factors like consumer confidence, interest rates, energy prices, or supply chain disruption indicators were omitted because of the availability issue of data. The exclusion of these variables can create omitted variable bias particularly in the volatile economic times.</w:t>
      </w:r>
    </w:p>
    <w:p w14:paraId="3F44A4DA">
      <w:pPr>
        <w:pStyle w:val="18"/>
        <w:spacing w:line="360" w:lineRule="auto"/>
        <w:jc w:val="both"/>
      </w:pPr>
      <w:r>
        <w:t>Fourth, the fact that the residual diagnostics of the model is characterized by the presence of autocorrelation and heteroskedasticity, demonstrates the drawbacks of the application of basic OLS techniques to trending time-series data. Although corrective measures were made by taking transformations and robustness checks, more advanced models like an ARIMAX, errors correction models, or even vector autoregression (VAR) could be used to give a more thorough picture of dynamic relationships.</w:t>
      </w:r>
    </w:p>
    <w:p w14:paraId="0E576E46">
      <w:pPr>
        <w:pStyle w:val="18"/>
        <w:spacing w:line="360" w:lineRule="auto"/>
        <w:jc w:val="both"/>
      </w:pPr>
      <w:r>
        <w:t>Lastly, the data is observational which does not allow inference of causality. The research determines correlations and not causal influences. The Brexit, global financial crisis and the COVID-19 pandemic are external shocks that might have had an independent effect on both inflation and household spending behaviour that is not fully reflected by the models. With these limitations notwithstanding, the study is a strong base in establishing macro-level relationships between inflation and grocery spending, as well as outlining possible future research.</w:t>
      </w:r>
    </w:p>
    <w:p w14:paraId="07A2682D">
      <w:pPr>
        <w:pStyle w:val="3"/>
      </w:pPr>
      <w:bookmarkStart w:id="27" w:name="_Toc218351990"/>
      <w:r>
        <w:t>7.4 Recommendations for Future Research</w:t>
      </w:r>
      <w:bookmarkEnd w:id="27"/>
    </w:p>
    <w:p w14:paraId="19ABE64B">
      <w:pPr>
        <w:pStyle w:val="18"/>
        <w:spacing w:line="360" w:lineRule="auto"/>
        <w:jc w:val="both"/>
      </w:pPr>
      <w:r>
        <w:t>A number of suggestions of future studies can be made based on the results and shortcomings of this study. To begin with, micro-level household data can be used in future work to examine the impact of inflation on various demographic and income groups. This would give a better picture of distributional effects and response to spending behavior among households of varying financial resiliency.</w:t>
      </w:r>
    </w:p>
    <w:p w14:paraId="4D2D3DDA">
      <w:pPr>
        <w:pStyle w:val="18"/>
        <w:spacing w:line="360" w:lineRule="auto"/>
        <w:jc w:val="both"/>
      </w:pPr>
      <w:r>
        <w:t>Second, the research might use more frequent data, including monthly or weekly spending reports, to the effect on consumer responses in the short term to inflation. Quarterly data can be helpful in long run trends, but can be biased on how fast households can respond to changing prices in terms of purchasing groceries.</w:t>
      </w:r>
    </w:p>
    <w:p w14:paraId="28887ABD">
      <w:pPr>
        <w:pStyle w:val="18"/>
        <w:spacing w:line="360" w:lineRule="auto"/>
        <w:jc w:val="both"/>
      </w:pPr>
      <w:r>
        <w:t>Third, other macroeconomic variables, such as consumer confidence, interest rates, energy prices, and signals of supply chain disruption can be included in future research. The omission of influences can be mitigated by a broader inclusion of influences which can enhance the explanatory power of the econometric models.</w:t>
      </w:r>
    </w:p>
    <w:p w14:paraId="394C94B8">
      <w:pPr>
        <w:pStyle w:val="18"/>
        <w:spacing w:line="360" w:lineRule="auto"/>
        <w:jc w:val="both"/>
      </w:pPr>
      <w:r>
        <w:t>Fourth, higher level modelling methods might be embraced. Researchers would be able to investigate dynamic interactions between inflation, income and expenditure through methods like vector autoregression (VAR), cointegration analysis or structural time-series models in a much more effective way. Such methods are able to obtain long-run relationships and those that arise as a result of feedback, which could be missed in simple OLS.</w:t>
      </w:r>
    </w:p>
    <w:p w14:paraId="4335C6D8">
      <w:pPr>
        <w:pStyle w:val="18"/>
        <w:spacing w:line="360" w:lineRule="auto"/>
        <w:jc w:val="both"/>
      </w:pPr>
      <w:r>
        <w:t>Fifth, subsequent research could examine the possibility that there are differences in household reactions to inflation by major economic periods. It may be implemented through structural break tests or regime-switching models to investigate how the crises like the 2008 financial crash, Brexit, or the COVID-19 pandemic changed the behavior of spending.</w:t>
      </w:r>
    </w:p>
    <w:p w14:paraId="37C9C3B3">
      <w:pPr>
        <w:pStyle w:val="18"/>
        <w:spacing w:line="360" w:lineRule="auto"/>
        <w:jc w:val="both"/>
      </w:pPr>
      <w:r>
        <w:t>Lastly, analysis of grocery expenditure at a much finer level by looking at individual categories of foods instead of an aggregate expenditure would be handy. This would assist in determining the nature of highly sensitive products to inflation and the nature of substitution in the equilibrium of the household budgets.</w:t>
      </w:r>
    </w:p>
    <w:p w14:paraId="7E120E1F">
      <w:pPr>
        <w:pStyle w:val="18"/>
        <w:spacing w:line="360" w:lineRule="auto"/>
        <w:jc w:val="both"/>
      </w:pPr>
      <w:r>
        <w:t>Collectively, these suggestions suggest the merits of richer data, more expansive modelling approaches and more granular analysis in building a more intensive picture regarding the effects of inflation on grocery expenditure in the UK.</w:t>
      </w:r>
    </w:p>
    <w:p w14:paraId="6945FC56">
      <w:pPr>
        <w:spacing w:line="360" w:lineRule="auto"/>
        <w:rPr>
          <w:rFonts w:ascii="Times New Roman" w:hAnsi="Times New Roman" w:cs="Times New Roman"/>
        </w:rPr>
      </w:pPr>
    </w:p>
    <w:p w14:paraId="58F66215">
      <w:pPr>
        <w:spacing w:line="360" w:lineRule="auto"/>
        <w:rPr>
          <w:rFonts w:ascii="Times New Roman" w:hAnsi="Times New Roman" w:cs="Times New Roman"/>
        </w:rPr>
      </w:pPr>
    </w:p>
    <w:p w14:paraId="21BDD034">
      <w:pPr>
        <w:spacing w:line="360" w:lineRule="auto"/>
        <w:rPr>
          <w:rFonts w:ascii="Times New Roman" w:hAnsi="Times New Roman" w:cs="Times New Roman"/>
        </w:rPr>
      </w:pPr>
    </w:p>
    <w:p w14:paraId="4090663D">
      <w:pPr>
        <w:spacing w:line="360" w:lineRule="auto"/>
        <w:rPr>
          <w:rFonts w:ascii="Times New Roman" w:hAnsi="Times New Roman" w:cs="Times New Roman"/>
        </w:rPr>
      </w:pPr>
    </w:p>
    <w:p w14:paraId="0276ECA0">
      <w:pPr>
        <w:spacing w:line="360" w:lineRule="auto"/>
        <w:rPr>
          <w:rFonts w:ascii="Times New Roman" w:hAnsi="Times New Roman" w:cs="Times New Roman"/>
        </w:rPr>
      </w:pPr>
    </w:p>
    <w:p w14:paraId="18CC7E9E">
      <w:pPr>
        <w:spacing w:line="360" w:lineRule="auto"/>
        <w:rPr>
          <w:rFonts w:ascii="Times New Roman" w:hAnsi="Times New Roman" w:cs="Times New Roman"/>
        </w:rPr>
      </w:pPr>
    </w:p>
    <w:p w14:paraId="78835280">
      <w:pPr>
        <w:spacing w:line="360" w:lineRule="auto"/>
        <w:rPr>
          <w:rFonts w:ascii="Times New Roman" w:hAnsi="Times New Roman" w:cs="Times New Roman"/>
        </w:rPr>
      </w:pPr>
    </w:p>
    <w:p w14:paraId="4FADB269">
      <w:pPr>
        <w:spacing w:line="360" w:lineRule="auto"/>
        <w:rPr>
          <w:rFonts w:ascii="Times New Roman" w:hAnsi="Times New Roman" w:cs="Times New Roman"/>
        </w:rPr>
      </w:pPr>
    </w:p>
    <w:p w14:paraId="183347C0">
      <w:pPr>
        <w:spacing w:line="360" w:lineRule="auto"/>
        <w:rPr>
          <w:rFonts w:ascii="Times New Roman" w:hAnsi="Times New Roman" w:cs="Times New Roman"/>
        </w:rPr>
      </w:pPr>
    </w:p>
    <w:p w14:paraId="185190E1">
      <w:pPr>
        <w:pStyle w:val="2"/>
      </w:pPr>
      <w:bookmarkStart w:id="28" w:name="_Toc218351991"/>
      <w:r>
        <w:t>8. References</w:t>
      </w:r>
      <w:bookmarkEnd w:id="28"/>
    </w:p>
    <w:p w14:paraId="4291B62C">
      <w:pPr>
        <w:pStyle w:val="18"/>
        <w:numPr>
          <w:ilvl w:val="0"/>
          <w:numId w:val="9"/>
        </w:numPr>
        <w:spacing w:before="0" w:beforeAutospacing="0" w:after="0" w:afterAutospacing="0" w:line="360" w:lineRule="auto"/>
        <w:ind w:left="425" w:leftChars="0" w:hanging="425" w:firstLineChars="0"/>
        <w:jc w:val="both"/>
        <w:rPr>
          <w:color w:val="222222"/>
          <w:shd w:val="clear" w:color="auto" w:fill="FFFFFF"/>
        </w:rPr>
      </w:pPr>
      <w:r>
        <w:rPr>
          <w:color w:val="222222"/>
          <w:shd w:val="clear" w:color="auto" w:fill="FFFFFF"/>
        </w:rPr>
        <w:t>Batchelor, R. and Dua, P. (1998). Improving macro-economic forecasts: The role of consumer confidence. </w:t>
      </w:r>
      <w:r>
        <w:rPr>
          <w:i/>
          <w:iCs/>
          <w:color w:val="222222"/>
          <w:shd w:val="clear" w:color="auto" w:fill="FFFFFF"/>
        </w:rPr>
        <w:t>International Journal of Forecasting</w:t>
      </w:r>
      <w:r>
        <w:rPr>
          <w:color w:val="222222"/>
          <w:shd w:val="clear" w:color="auto" w:fill="FFFFFF"/>
        </w:rPr>
        <w:t>, </w:t>
      </w:r>
      <w:r>
        <w:rPr>
          <w:i/>
          <w:iCs/>
          <w:color w:val="222222"/>
          <w:shd w:val="clear" w:color="auto" w:fill="FFFFFF"/>
        </w:rPr>
        <w:t>14</w:t>
      </w:r>
      <w:r>
        <w:rPr>
          <w:color w:val="222222"/>
          <w:shd w:val="clear" w:color="auto" w:fill="FFFFFF"/>
        </w:rPr>
        <w:t>(1), pp.71-81.</w:t>
      </w:r>
    </w:p>
    <w:p w14:paraId="73AE62EA">
      <w:pPr>
        <w:pStyle w:val="18"/>
        <w:numPr>
          <w:ilvl w:val="0"/>
          <w:numId w:val="9"/>
        </w:numPr>
        <w:spacing w:before="0" w:beforeAutospacing="0" w:after="0" w:afterAutospacing="0" w:line="360" w:lineRule="auto"/>
        <w:ind w:left="425" w:leftChars="0" w:hanging="425" w:firstLineChars="0"/>
        <w:jc w:val="both"/>
      </w:pPr>
      <w:r>
        <w:t xml:space="preserve">Becker, G.S. (1965). A theory of the allocation of time. </w:t>
      </w:r>
      <w:r>
        <w:rPr>
          <w:rStyle w:val="14"/>
          <w:rFonts w:eastAsiaTheme="majorEastAsia"/>
        </w:rPr>
        <w:t>The Economic Journal</w:t>
      </w:r>
      <w:r>
        <w:t>, 75(299), pp.493–517.</w:t>
      </w:r>
    </w:p>
    <w:p w14:paraId="2F14A867">
      <w:pPr>
        <w:pStyle w:val="18"/>
        <w:numPr>
          <w:ilvl w:val="0"/>
          <w:numId w:val="9"/>
        </w:numPr>
        <w:spacing w:before="0" w:beforeAutospacing="0" w:after="0" w:afterAutospacing="0" w:line="360" w:lineRule="auto"/>
        <w:ind w:left="425" w:leftChars="0" w:hanging="425" w:firstLineChars="0"/>
        <w:jc w:val="both"/>
      </w:pPr>
      <w:r>
        <w:rPr>
          <w:color w:val="222222"/>
          <w:shd w:val="clear" w:color="auto" w:fill="FFFFFF"/>
        </w:rPr>
        <w:t>Buss, A. and Wallner, W. (2022). </w:t>
      </w:r>
      <w:r>
        <w:rPr>
          <w:i/>
          <w:iCs/>
          <w:color w:val="222222"/>
          <w:shd w:val="clear" w:color="auto" w:fill="FFFFFF"/>
        </w:rPr>
        <w:t>How inflation is changing consumer behavior. Learn how consumers are changing their buying decisions as inflation soars. An Ipsos Point of View</w:t>
      </w:r>
      <w:r>
        <w:rPr>
          <w:color w:val="222222"/>
          <w:shd w:val="clear" w:color="auto" w:fill="FFFFFF"/>
        </w:rPr>
        <w:t> [online]</w:t>
      </w:r>
    </w:p>
    <w:p w14:paraId="6865C85F">
      <w:pPr>
        <w:pStyle w:val="18"/>
        <w:numPr>
          <w:ilvl w:val="0"/>
          <w:numId w:val="9"/>
        </w:numPr>
        <w:spacing w:before="0" w:beforeAutospacing="0" w:after="0" w:afterAutospacing="0" w:line="360" w:lineRule="auto"/>
        <w:ind w:left="425" w:leftChars="0" w:hanging="425" w:firstLineChars="0"/>
        <w:jc w:val="both"/>
      </w:pPr>
      <w:r>
        <w:t xml:space="preserve">Carruth, A. and Dickerson, A. (2003). An asymmetric error correction model of UK consumer spending. </w:t>
      </w:r>
      <w:r>
        <w:rPr>
          <w:rStyle w:val="14"/>
          <w:rFonts w:eastAsiaTheme="majorEastAsia"/>
        </w:rPr>
        <w:t>Applied Economics</w:t>
      </w:r>
      <w:r>
        <w:t>, 35(6), pp.619–630.</w:t>
      </w:r>
    </w:p>
    <w:p w14:paraId="18AFBAB8">
      <w:pPr>
        <w:pStyle w:val="18"/>
        <w:numPr>
          <w:ilvl w:val="0"/>
          <w:numId w:val="9"/>
        </w:numPr>
        <w:spacing w:before="0" w:beforeAutospacing="0" w:after="0" w:afterAutospacing="0" w:line="360" w:lineRule="auto"/>
        <w:ind w:left="425" w:leftChars="0" w:hanging="425" w:firstLineChars="0"/>
        <w:jc w:val="both"/>
      </w:pPr>
      <w:r>
        <w:rPr>
          <w:color w:val="222222"/>
          <w:shd w:val="clear" w:color="auto" w:fill="FFFFFF"/>
        </w:rPr>
        <w:t>Muellbauer, J. (2016). Macroeconomics and consumption.</w:t>
      </w:r>
    </w:p>
    <w:p w14:paraId="552FB821">
      <w:pPr>
        <w:pStyle w:val="18"/>
        <w:numPr>
          <w:ilvl w:val="0"/>
          <w:numId w:val="9"/>
        </w:numPr>
        <w:spacing w:before="0" w:beforeAutospacing="0" w:after="0" w:afterAutospacing="0" w:line="360" w:lineRule="auto"/>
        <w:ind w:left="425" w:leftChars="0" w:hanging="425" w:firstLineChars="0"/>
        <w:jc w:val="both"/>
      </w:pPr>
      <w:r>
        <w:t xml:space="preserve">Davies, R. (2021). </w:t>
      </w:r>
      <w:r>
        <w:rPr>
          <w:rStyle w:val="14"/>
          <w:rFonts w:eastAsiaTheme="majorEastAsia"/>
        </w:rPr>
        <w:t>Prices and inflation in the UK: A new dataset</w:t>
      </w:r>
      <w:r>
        <w:t>. Centre for Economic Performance, London School of Economics and Political Science.</w:t>
      </w:r>
    </w:p>
    <w:p w14:paraId="220A3230">
      <w:pPr>
        <w:pStyle w:val="18"/>
        <w:numPr>
          <w:ilvl w:val="0"/>
          <w:numId w:val="9"/>
        </w:numPr>
        <w:spacing w:before="0" w:beforeAutospacing="0" w:after="0" w:afterAutospacing="0" w:line="360" w:lineRule="auto"/>
        <w:ind w:left="425" w:leftChars="0" w:hanging="425" w:firstLineChars="0"/>
        <w:jc w:val="both"/>
      </w:pPr>
      <w:r>
        <w:t xml:space="preserve">Federal Reserve Bank of St. Louis (FRED). (n.d.). Consumer Price Index for the United Kingdom. </w:t>
      </w:r>
      <w:r>
        <w:rPr>
          <w:rStyle w:val="14"/>
          <w:rFonts w:eastAsiaTheme="majorEastAsia"/>
        </w:rPr>
        <w:t>Federal Reserve Economic Data (FRED)</w:t>
      </w:r>
      <w:r>
        <w:t>. [Online].</w:t>
      </w:r>
    </w:p>
    <w:p w14:paraId="1D355E5C">
      <w:pPr>
        <w:pStyle w:val="18"/>
        <w:numPr>
          <w:ilvl w:val="0"/>
          <w:numId w:val="9"/>
        </w:numPr>
        <w:spacing w:before="0" w:beforeAutospacing="0" w:after="0" w:afterAutospacing="0" w:line="360" w:lineRule="auto"/>
        <w:ind w:left="425" w:leftChars="0" w:hanging="425" w:firstLineChars="0"/>
        <w:jc w:val="both"/>
      </w:pPr>
      <w:r>
        <w:t xml:space="preserve">Gujarati, D.N. and Porter, D.C. (2009). </w:t>
      </w:r>
      <w:r>
        <w:rPr>
          <w:rStyle w:val="14"/>
          <w:rFonts w:eastAsiaTheme="majorEastAsia"/>
        </w:rPr>
        <w:t>Basic Econometrics</w:t>
      </w:r>
      <w:r>
        <w:t>. 5th ed. New York: McGraw-Hill.</w:t>
      </w:r>
    </w:p>
    <w:p w14:paraId="6D58006C">
      <w:pPr>
        <w:pStyle w:val="18"/>
        <w:numPr>
          <w:ilvl w:val="0"/>
          <w:numId w:val="9"/>
        </w:numPr>
        <w:spacing w:before="0" w:beforeAutospacing="0" w:after="0" w:afterAutospacing="0" w:line="360" w:lineRule="auto"/>
        <w:ind w:left="425" w:leftChars="0" w:hanging="425" w:firstLineChars="0"/>
        <w:jc w:val="both"/>
      </w:pPr>
      <w:r>
        <w:t xml:space="preserve">Krueger, D. and Perri, F. (2006). Does income inequality lead to consumption inequality? Evidence and theory. </w:t>
      </w:r>
      <w:r>
        <w:rPr>
          <w:rStyle w:val="14"/>
          <w:rFonts w:eastAsiaTheme="majorEastAsia"/>
        </w:rPr>
        <w:t>The Review of Economic Studies</w:t>
      </w:r>
      <w:r>
        <w:t>, 73(1), pp.163–193.</w:t>
      </w:r>
    </w:p>
    <w:p w14:paraId="45AAB93D">
      <w:pPr>
        <w:pStyle w:val="18"/>
        <w:numPr>
          <w:ilvl w:val="0"/>
          <w:numId w:val="9"/>
        </w:numPr>
        <w:spacing w:before="0" w:beforeAutospacing="0" w:after="0" w:afterAutospacing="0" w:line="360" w:lineRule="auto"/>
        <w:ind w:left="425" w:leftChars="0" w:hanging="425" w:firstLineChars="0"/>
        <w:jc w:val="both"/>
      </w:pPr>
      <w:r>
        <w:t xml:space="preserve">Molnár, L. and Hajdú, O. (2023). Food consumption patterns and trends in response to inflationary pressures. </w:t>
      </w:r>
      <w:r>
        <w:rPr>
          <w:rStyle w:val="14"/>
          <w:rFonts w:eastAsiaTheme="majorEastAsia"/>
        </w:rPr>
        <w:t>Gazdaság és Társadalom</w:t>
      </w:r>
      <w:r>
        <w:t>, 2023(2), pp.3–23.</w:t>
      </w:r>
    </w:p>
    <w:p w14:paraId="14FC8052">
      <w:pPr>
        <w:pStyle w:val="18"/>
        <w:numPr>
          <w:ilvl w:val="0"/>
          <w:numId w:val="9"/>
        </w:numPr>
        <w:spacing w:before="0" w:beforeAutospacing="0" w:after="0" w:afterAutospacing="0" w:line="360" w:lineRule="auto"/>
        <w:ind w:left="425" w:leftChars="0" w:hanging="425" w:firstLineChars="0"/>
        <w:jc w:val="both"/>
      </w:pPr>
      <w:r>
        <w:t xml:space="preserve">Office for National Statistics (ONS). (2023). Consumer price inflation, UK: historical series. </w:t>
      </w:r>
      <w:r>
        <w:rPr>
          <w:rStyle w:val="14"/>
          <w:rFonts w:eastAsiaTheme="majorEastAsia"/>
        </w:rPr>
        <w:t>Office for National Statistics</w:t>
      </w:r>
      <w:r>
        <w:t>. [Online].</w:t>
      </w:r>
    </w:p>
    <w:p w14:paraId="05FC7900">
      <w:pPr>
        <w:pStyle w:val="18"/>
        <w:numPr>
          <w:ilvl w:val="0"/>
          <w:numId w:val="9"/>
        </w:numPr>
        <w:spacing w:before="0" w:beforeAutospacing="0" w:after="0" w:afterAutospacing="0" w:line="360" w:lineRule="auto"/>
        <w:ind w:left="425" w:leftChars="0" w:hanging="425" w:firstLineChars="0"/>
        <w:jc w:val="both"/>
      </w:pPr>
      <w:r>
        <w:t xml:space="preserve">Onita, L. (2023). The squeezed middle-class consumer: rising inflation and interest rates are eating into the spending power of a historically influential demographic group. </w:t>
      </w:r>
      <w:r>
        <w:rPr>
          <w:rStyle w:val="14"/>
          <w:rFonts w:eastAsiaTheme="majorEastAsia"/>
        </w:rPr>
        <w:t>Financial Times</w:t>
      </w:r>
      <w:r>
        <w:t>, p.13.</w:t>
      </w:r>
    </w:p>
    <w:p w14:paraId="6FF6BE65">
      <w:pPr>
        <w:pStyle w:val="18"/>
        <w:numPr>
          <w:ilvl w:val="0"/>
          <w:numId w:val="9"/>
        </w:numPr>
        <w:spacing w:before="0" w:beforeAutospacing="0" w:after="0" w:afterAutospacing="0" w:line="360" w:lineRule="auto"/>
        <w:ind w:left="425" w:leftChars="0" w:hanging="425" w:firstLineChars="0"/>
        <w:jc w:val="both"/>
      </w:pPr>
      <w:r>
        <w:t xml:space="preserve">Onita, L. (2023). Why are food prices rising in the UK? </w:t>
      </w:r>
      <w:r>
        <w:rPr>
          <w:rStyle w:val="14"/>
          <w:rFonts w:eastAsiaTheme="majorEastAsia"/>
        </w:rPr>
        <w:t>Economics Observatory</w:t>
      </w:r>
      <w:r>
        <w:t>. [Online].</w:t>
      </w:r>
    </w:p>
    <w:p w14:paraId="30B341B6">
      <w:pPr>
        <w:pStyle w:val="18"/>
        <w:numPr>
          <w:ilvl w:val="0"/>
          <w:numId w:val="9"/>
        </w:numPr>
        <w:spacing w:before="0" w:beforeAutospacing="0" w:after="0" w:afterAutospacing="0" w:line="360" w:lineRule="auto"/>
        <w:ind w:left="425" w:leftChars="0" w:hanging="425" w:firstLineChars="0"/>
        <w:jc w:val="both"/>
      </w:pPr>
      <w:r>
        <w:t xml:space="preserve">Stock, J.H. and Watson, M.W. (2015). </w:t>
      </w:r>
      <w:r>
        <w:rPr>
          <w:rStyle w:val="14"/>
          <w:rFonts w:eastAsiaTheme="majorEastAsia"/>
        </w:rPr>
        <w:t>Introduction to Econometrics</w:t>
      </w:r>
      <w:r>
        <w:t>. 3rd ed. Harlow: Pearson.</w:t>
      </w:r>
    </w:p>
    <w:p w14:paraId="3317A26E">
      <w:pPr>
        <w:pStyle w:val="2"/>
        <w:rPr>
          <w:sz w:val="26"/>
          <w:szCs w:val="26"/>
        </w:rPr>
      </w:pPr>
      <w:bookmarkStart w:id="29" w:name="_Toc218351992"/>
      <w:r>
        <w:rPr>
          <w:sz w:val="26"/>
          <w:szCs w:val="26"/>
        </w:rPr>
        <w:t>Appendix</w:t>
      </w:r>
      <w:bookmarkEnd w:id="29"/>
    </w:p>
    <w:p w14:paraId="03469514"/>
    <w:p w14:paraId="49ED7DC8">
      <w:pPr>
        <w:rPr>
          <w:rFonts w:ascii="Times New Roman" w:hAnsi="Times New Roman" w:cs="Times New Roman"/>
          <w:b/>
          <w:bCs/>
        </w:rPr>
      </w:pPr>
      <w:r>
        <w:rPr>
          <w:rFonts w:ascii="Times New Roman" w:hAnsi="Times New Roman" w:cs="Times New Roman"/>
          <w:b/>
          <w:bCs/>
        </w:rPr>
        <w:t>Record of Meetings with Supervisor</w:t>
      </w:r>
    </w:p>
    <w:p w14:paraId="11B9002E"/>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1250"/>
        <w:gridCol w:w="6611"/>
      </w:tblGrid>
      <w:tr w14:paraId="4B946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54E60351">
            <w:pPr>
              <w:spacing w:after="0" w:line="240" w:lineRule="auto"/>
              <w:rPr>
                <w:rFonts w:ascii="Times New Roman" w:hAnsi="Times New Roman" w:cs="Times New Roman"/>
                <w:kern w:val="0"/>
                <w:sz w:val="22"/>
                <w:szCs w:val="22"/>
                <w14:ligatures w14:val="none"/>
              </w:rPr>
            </w:pPr>
            <w:r>
              <w:rPr>
                <w:rFonts w:ascii="Times New Roman" w:hAnsi="Times New Roman" w:cs="Times New Roman"/>
              </w:rPr>
              <w:t>Meetings</w:t>
            </w:r>
          </w:p>
        </w:tc>
        <w:tc>
          <w:tcPr>
            <w:tcW w:w="1250" w:type="dxa"/>
          </w:tcPr>
          <w:p w14:paraId="17FE0FD2">
            <w:pPr>
              <w:spacing w:after="0" w:line="240" w:lineRule="auto"/>
              <w:rPr>
                <w:rFonts w:ascii="Times New Roman" w:hAnsi="Times New Roman" w:cs="Times New Roman"/>
                <w:kern w:val="0"/>
                <w:sz w:val="22"/>
                <w:szCs w:val="22"/>
                <w14:ligatures w14:val="none"/>
              </w:rPr>
            </w:pPr>
            <w:r>
              <w:rPr>
                <w:rFonts w:ascii="Times New Roman" w:hAnsi="Times New Roman" w:cs="Times New Roman"/>
                <w:kern w:val="0"/>
                <w:sz w:val="22"/>
                <w:szCs w:val="22"/>
                <w14:ligatures w14:val="none"/>
              </w:rPr>
              <w:t>Dates</w:t>
            </w:r>
          </w:p>
        </w:tc>
        <w:tc>
          <w:tcPr>
            <w:tcW w:w="6611" w:type="dxa"/>
          </w:tcPr>
          <w:p w14:paraId="033098DD">
            <w:pPr>
              <w:spacing w:after="0" w:line="240" w:lineRule="auto"/>
              <w:rPr>
                <w:rFonts w:ascii="Times New Roman" w:hAnsi="Times New Roman" w:cs="Times New Roman"/>
                <w:kern w:val="0"/>
                <w:sz w:val="22"/>
                <w:szCs w:val="22"/>
                <w14:ligatures w14:val="none"/>
              </w:rPr>
            </w:pPr>
            <w:r>
              <w:rPr>
                <w:rFonts w:ascii="Times New Roman" w:hAnsi="Times New Roman" w:cs="Times New Roman"/>
                <w:kern w:val="0"/>
                <w:sz w:val="22"/>
                <w:szCs w:val="22"/>
                <w14:ligatures w14:val="none"/>
              </w:rPr>
              <w:t>Notes/Discussion</w:t>
            </w:r>
          </w:p>
        </w:tc>
      </w:tr>
      <w:tr w14:paraId="6C82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63306D29">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 xml:space="preserve">  1</w:t>
            </w:r>
          </w:p>
        </w:tc>
        <w:tc>
          <w:tcPr>
            <w:tcW w:w="1250" w:type="dxa"/>
          </w:tcPr>
          <w:p w14:paraId="492D44A0">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29/07/2025</w:t>
            </w:r>
          </w:p>
          <w:p w14:paraId="160392DB">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(via Email)</w:t>
            </w:r>
          </w:p>
        </w:tc>
        <w:tc>
          <w:tcPr>
            <w:tcW w:w="6611" w:type="dxa"/>
          </w:tcPr>
          <w:p w14:paraId="79920126">
            <w:pPr>
              <w:spacing w:after="0" w:line="240" w:lineRule="auto"/>
              <w:jc w:val="both"/>
              <w:rPr>
                <w:rFonts w:ascii="Times New Roman" w:hAnsi="Times New Roman" w:cs="Times New Roman"/>
                <w:kern w:val="0"/>
                <w:sz w:val="22"/>
                <w:szCs w:val="22"/>
                <w:lang w:val="en-US"/>
                <w14:ligatures w14:val="none"/>
              </w:rPr>
            </w:pPr>
            <w:r>
              <w:rPr>
                <w:rFonts w:hint="default" w:ascii="Times New Roman" w:hAnsi="Times New Roman" w:eastAsia="SimSun" w:cs="Times New Roman"/>
                <w:sz w:val="24"/>
                <w:szCs w:val="24"/>
              </w:rPr>
              <w:t>I contacted my allocated supervisor by email to arrange a meeting after my project proposal was not accepted. We met via Google Meet to discuss the proposal, and she advised me on the changes that needed to be made.</w:t>
            </w:r>
          </w:p>
        </w:tc>
      </w:tr>
      <w:tr w14:paraId="7F3E4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43FE30FD">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2</w:t>
            </w:r>
          </w:p>
        </w:tc>
        <w:tc>
          <w:tcPr>
            <w:tcW w:w="1250" w:type="dxa"/>
          </w:tcPr>
          <w:p w14:paraId="67786D7F">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08/08/2025</w:t>
            </w:r>
          </w:p>
          <w:p w14:paraId="706E0A20">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(Teams)</w:t>
            </w:r>
          </w:p>
        </w:tc>
        <w:tc>
          <w:tcPr>
            <w:tcW w:w="6611" w:type="dxa"/>
          </w:tcPr>
          <w:p w14:paraId="54C2AC92">
            <w:pPr>
              <w:spacing w:after="0" w:line="240" w:lineRule="auto"/>
              <w:jc w:val="both"/>
              <w:rPr>
                <w:rFonts w:ascii="Times New Roman" w:hAnsi="Times New Roman" w:cs="Times New Roman"/>
                <w:kern w:val="0"/>
                <w:sz w:val="22"/>
                <w:szCs w:val="22"/>
                <w14:ligatures w14:val="none"/>
              </w:rPr>
            </w:pPr>
            <w:r>
              <w:rPr>
                <w:rFonts w:hint="default" w:ascii="Times New Roman" w:hAnsi="Times New Roman" w:eastAsia="SimSun" w:cs="Times New Roman"/>
                <w:sz w:val="24"/>
                <w:szCs w:val="24"/>
              </w:rPr>
              <w:t>After the proposal was accepted, I emailed my supervisor to arrange a meeting to discuss the project in detail. During the meeting, I explained the project aims and data, which she reviewed and approved, and she advised me to proceed with the next stage of the project.</w:t>
            </w:r>
          </w:p>
        </w:tc>
      </w:tr>
      <w:tr w14:paraId="67E45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6C371FA1">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3</w:t>
            </w:r>
          </w:p>
        </w:tc>
        <w:tc>
          <w:tcPr>
            <w:tcW w:w="1250" w:type="dxa"/>
          </w:tcPr>
          <w:p w14:paraId="0EB69141">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10/09/2025</w:t>
            </w:r>
          </w:p>
          <w:p w14:paraId="79F10037">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(Teams)</w:t>
            </w:r>
          </w:p>
        </w:tc>
        <w:tc>
          <w:tcPr>
            <w:tcW w:w="6611" w:type="dxa"/>
          </w:tcPr>
          <w:p w14:paraId="1B4AE081">
            <w:pPr>
              <w:spacing w:after="0" w:line="240" w:lineRule="auto"/>
              <w:jc w:val="both"/>
              <w:rPr>
                <w:rFonts w:ascii="Times New Roman" w:hAnsi="Times New Roman" w:cs="Times New Roman"/>
                <w:kern w:val="0"/>
                <w:sz w:val="22"/>
                <w:szCs w:val="22"/>
                <w14:ligatures w14:val="none"/>
              </w:rPr>
            </w:pPr>
            <w:r>
              <w:rPr>
                <w:rFonts w:hint="default" w:ascii="Times New Roman" w:hAnsi="Times New Roman" w:eastAsia="SimSun" w:cs="Times New Roman"/>
                <w:sz w:val="24"/>
                <w:szCs w:val="24"/>
              </w:rPr>
              <w:t xml:space="preserve">Prior to the third meeting, the </w:t>
            </w:r>
            <w:r>
              <w:rPr>
                <w:rFonts w:hint="default" w:ascii="Times New Roman" w:hAnsi="Times New Roman" w:eastAsia="SimSun" w:cs="Times New Roman"/>
                <w:sz w:val="24"/>
                <w:szCs w:val="24"/>
                <w:lang w:val="en-US"/>
              </w:rPr>
              <w:t>i</w:t>
            </w:r>
            <w:r>
              <w:rPr>
                <w:rFonts w:hint="default" w:ascii="Times New Roman" w:hAnsi="Times New Roman" w:eastAsia="SimSun" w:cs="Times New Roman"/>
                <w:sz w:val="24"/>
                <w:szCs w:val="24"/>
              </w:rPr>
              <w:t xml:space="preserve"> emailed the supervisor with the project code and exploratory data analysis (EDA) for review. During the meeting, the code, EDA, and relevant literature were discussed in detail. The supervisor suggested minor improvements to the EDA and advised </w:t>
            </w:r>
            <w:r>
              <w:rPr>
                <w:rFonts w:hint="default" w:ascii="Times New Roman" w:hAnsi="Times New Roman" w:eastAsia="SimSun" w:cs="Times New Roman"/>
                <w:sz w:val="24"/>
                <w:szCs w:val="24"/>
                <w:lang w:val="en-US"/>
              </w:rPr>
              <w:t>me</w:t>
            </w:r>
            <w:r>
              <w:rPr>
                <w:rFonts w:hint="default" w:ascii="Times New Roman" w:hAnsi="Times New Roman" w:eastAsia="SimSun" w:cs="Times New Roman"/>
                <w:sz w:val="24"/>
                <w:szCs w:val="24"/>
              </w:rPr>
              <w:t xml:space="preserve"> to proceed with the next stage of the project.</w:t>
            </w:r>
          </w:p>
        </w:tc>
      </w:tr>
      <w:tr w14:paraId="5BF4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4FD037A0">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4</w:t>
            </w:r>
          </w:p>
        </w:tc>
        <w:tc>
          <w:tcPr>
            <w:tcW w:w="1250" w:type="dxa"/>
          </w:tcPr>
          <w:p w14:paraId="64829FBC">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18/10/2025</w:t>
            </w:r>
          </w:p>
          <w:p w14:paraId="4F725786">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(Teams)</w:t>
            </w:r>
          </w:p>
        </w:tc>
        <w:tc>
          <w:tcPr>
            <w:tcW w:w="6611" w:type="dxa"/>
          </w:tcPr>
          <w:p w14:paraId="077F0095">
            <w:pPr>
              <w:spacing w:after="0" w:line="240" w:lineRule="auto"/>
              <w:jc w:val="both"/>
              <w:rPr>
                <w:rFonts w:ascii="Times New Roman" w:hAnsi="Times New Roman" w:cs="Times New Roman"/>
                <w:kern w:val="0"/>
                <w:sz w:val="22"/>
                <w:szCs w:val="22"/>
                <w14:ligatures w14:val="none"/>
              </w:rPr>
            </w:pPr>
            <w:r>
              <w:rPr>
                <w:rFonts w:hint="default" w:ascii="Times New Roman" w:hAnsi="Times New Roman" w:eastAsia="SimSun" w:cs="Times New Roman"/>
                <w:sz w:val="24"/>
                <w:szCs w:val="24"/>
              </w:rPr>
              <w:t xml:space="preserve">Prior to the fourth meeting, </w:t>
            </w:r>
            <w:r>
              <w:rPr>
                <w:rFonts w:hint="default" w:ascii="Times New Roman" w:hAnsi="Times New Roman" w:eastAsia="SimSun" w:cs="Times New Roman"/>
                <w:sz w:val="24"/>
                <w:szCs w:val="24"/>
                <w:lang w:val="en-US"/>
              </w:rPr>
              <w:t>i</w:t>
            </w:r>
            <w:r>
              <w:rPr>
                <w:rFonts w:hint="default" w:ascii="Times New Roman" w:hAnsi="Times New Roman" w:eastAsia="SimSun" w:cs="Times New Roman"/>
                <w:sz w:val="24"/>
                <w:szCs w:val="24"/>
              </w:rPr>
              <w:t xml:space="preserve"> emailed </w:t>
            </w:r>
            <w:r>
              <w:rPr>
                <w:rFonts w:hint="default" w:ascii="Times New Roman" w:hAnsi="Times New Roman" w:eastAsia="SimSun" w:cs="Times New Roman"/>
                <w:sz w:val="24"/>
                <w:szCs w:val="24"/>
                <w:lang w:val="en-US"/>
              </w:rPr>
              <w:t>my</w:t>
            </w:r>
            <w:r>
              <w:rPr>
                <w:rFonts w:hint="default" w:ascii="Times New Roman" w:hAnsi="Times New Roman" w:eastAsia="SimSun" w:cs="Times New Roman"/>
                <w:sz w:val="24"/>
                <w:szCs w:val="24"/>
              </w:rPr>
              <w:t xml:space="preserve"> supervisor a draft sample report for review. The meeting was held via Teams, during which </w:t>
            </w:r>
            <w:r>
              <w:rPr>
                <w:rFonts w:hint="default" w:ascii="Times New Roman" w:hAnsi="Times New Roman" w:eastAsia="SimSun" w:cs="Times New Roman"/>
                <w:sz w:val="24"/>
                <w:szCs w:val="24"/>
                <w:lang w:val="en-US"/>
              </w:rPr>
              <w:t>I explained my sample report</w:t>
            </w:r>
            <w:r>
              <w:rPr>
                <w:rFonts w:hint="default" w:ascii="Times New Roman" w:hAnsi="Times New Roman" w:eastAsia="SimSun" w:cs="Times New Roman"/>
                <w:sz w:val="24"/>
                <w:szCs w:val="24"/>
              </w:rPr>
              <w:t xml:space="preserve"> and discussed. The supervisor advised revisions to the methodology section and to the use of references, and provided guidance on improving the overall structure</w:t>
            </w:r>
            <w:r>
              <w:rPr>
                <w:rFonts w:ascii="SimSun" w:hAnsi="SimSun" w:eastAsia="SimSun" w:cs="SimSun"/>
                <w:sz w:val="24"/>
                <w:szCs w:val="24"/>
              </w:rPr>
              <w:t>.</w:t>
            </w:r>
          </w:p>
        </w:tc>
      </w:tr>
      <w:tr w14:paraId="773F2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25F7669E">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5</w:t>
            </w:r>
          </w:p>
        </w:tc>
        <w:tc>
          <w:tcPr>
            <w:tcW w:w="1250" w:type="dxa"/>
          </w:tcPr>
          <w:p w14:paraId="01B96C5B">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12/12/2025</w:t>
            </w:r>
          </w:p>
          <w:p w14:paraId="004C0DA1">
            <w:pPr>
              <w:spacing w:after="0" w:line="240" w:lineRule="auto"/>
              <w:rPr>
                <w:rFonts w:hint="default" w:ascii="Times New Roman" w:hAnsi="Times New Roman" w:cs="Times New Roman"/>
                <w:kern w:val="0"/>
                <w:sz w:val="22"/>
                <w:szCs w:val="22"/>
                <w:lang w:val="en-US"/>
                <w14:ligatures w14:val="none"/>
              </w:rPr>
            </w:pPr>
            <w:r>
              <w:rPr>
                <w:rFonts w:hint="default" w:ascii="Times New Roman" w:hAnsi="Times New Roman" w:cs="Times New Roman"/>
                <w:kern w:val="0"/>
                <w:sz w:val="22"/>
                <w:szCs w:val="22"/>
                <w:lang w:val="en-US"/>
                <w14:ligatures w14:val="none"/>
              </w:rPr>
              <w:t>(Teams)</w:t>
            </w:r>
          </w:p>
        </w:tc>
        <w:tc>
          <w:tcPr>
            <w:tcW w:w="6611" w:type="dxa"/>
          </w:tcPr>
          <w:p w14:paraId="639BF5E6">
            <w:pPr>
              <w:spacing w:after="0" w:line="240" w:lineRule="auto"/>
              <w:jc w:val="both"/>
              <w:rPr>
                <w:rFonts w:ascii="Times New Roman" w:hAnsi="Times New Roman" w:cs="Times New Roman"/>
                <w:kern w:val="0"/>
                <w:sz w:val="22"/>
                <w:szCs w:val="22"/>
                <w14:ligatures w14:val="none"/>
              </w:rPr>
            </w:pPr>
            <w:r>
              <w:rPr>
                <w:rFonts w:hint="default" w:ascii="Times New Roman" w:hAnsi="Times New Roman" w:eastAsia="SimSun" w:cs="Times New Roman"/>
                <w:sz w:val="24"/>
                <w:szCs w:val="24"/>
              </w:rPr>
              <w:t xml:space="preserve">Prior to the final meeting, </w:t>
            </w:r>
            <w:r>
              <w:rPr>
                <w:rFonts w:hint="default" w:ascii="Times New Roman" w:hAnsi="Times New Roman" w:eastAsia="SimSun" w:cs="Times New Roman"/>
                <w:sz w:val="24"/>
                <w:szCs w:val="24"/>
                <w:lang w:val="en-US"/>
              </w:rPr>
              <w:t xml:space="preserve">I </w:t>
            </w:r>
            <w:r>
              <w:rPr>
                <w:rFonts w:hint="default" w:ascii="Times New Roman" w:hAnsi="Times New Roman" w:eastAsia="SimSun" w:cs="Times New Roman"/>
                <w:sz w:val="24"/>
                <w:szCs w:val="24"/>
              </w:rPr>
              <w:t xml:space="preserve">shared the completed final report, including all data and code, with the supervisor. During the meeting, </w:t>
            </w:r>
            <w:r>
              <w:rPr>
                <w:rFonts w:hint="default" w:ascii="Times New Roman" w:hAnsi="Times New Roman" w:eastAsia="SimSun" w:cs="Times New Roman"/>
                <w:sz w:val="24"/>
                <w:szCs w:val="24"/>
                <w:lang w:val="en-US"/>
              </w:rPr>
              <w:t>I explained</w:t>
            </w:r>
            <w:r>
              <w:rPr>
                <w:rFonts w:hint="default" w:ascii="Times New Roman" w:hAnsi="Times New Roman" w:eastAsia="SimSun" w:cs="Times New Roman"/>
                <w:sz w:val="24"/>
                <w:szCs w:val="24"/>
              </w:rPr>
              <w:t xml:space="preserve"> full report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and the supervisor confirmed satisfaction with the work. Probable viva questions were also discussed, and guidance was provided on how to structure responses.</w:t>
            </w:r>
          </w:p>
        </w:tc>
      </w:tr>
    </w:tbl>
    <w:p w14:paraId="298BFEFD"/>
    <w:p w14:paraId="6F336AD0">
      <w:pPr>
        <w:spacing w:line="360" w:lineRule="auto"/>
        <w:rPr>
          <w:rFonts w:ascii="Times New Roman" w:hAnsi="Times New Roman" w:cs="Times New Roman"/>
        </w:rPr>
      </w:pPr>
    </w:p>
    <w:p w14:paraId="1B423576">
      <w:pPr>
        <w:spacing w:line="360" w:lineRule="auto"/>
        <w:rPr>
          <w:rFonts w:ascii="Times New Roman" w:hAnsi="Times New Roman" w:cs="Times New Roman"/>
        </w:rPr>
      </w:pPr>
    </w:p>
    <w:sectPr>
      <w:footerReference r:id="rId5" w:type="default"/>
      <w:footerReference r:id="rId6" w:type="even"/>
      <w:pgSz w:w="11906" w:h="16838"/>
      <w:pgMar w:top="1440" w:right="1440" w:bottom="1440" w:left="144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ptos Display">
    <w:altName w:val="Segoe Print"/>
    <w:panose1 w:val="00000000000000000000"/>
    <w:charset w:val="00"/>
    <w:family w:val="swiss"/>
    <w:pitch w:val="default"/>
    <w:sig w:usb0="00000000" w:usb1="00000000" w:usb2="00000000" w:usb3="00000000" w:csb0="0000019F" w:csb1="00000000"/>
  </w:font>
  <w:font w:name="CIDFont+F1">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1147193525"/>
      <w:docPartObj>
        <w:docPartGallery w:val="autotext"/>
      </w:docPartObj>
    </w:sdtPr>
    <w:sdtEndPr>
      <w:rPr>
        <w:rStyle w:val="19"/>
        <w:rFonts w:ascii="Times New Roman" w:hAnsi="Times New Roman" w:cs="Times New Roman"/>
      </w:rPr>
    </w:sdtEndPr>
    <w:sdtContent>
      <w:p w14:paraId="63CC90D3">
        <w:pPr>
          <w:pStyle w:val="15"/>
          <w:framePr w:wrap="auto" w:vAnchor="text" w:hAnchor="margin" w:xAlign="center" w:y="1"/>
          <w:rPr>
            <w:rStyle w:val="19"/>
            <w:rFonts w:ascii="Times New Roman" w:hAnsi="Times New Roman" w:cs="Times New Roman"/>
          </w:rPr>
        </w:pPr>
        <w:r>
          <w:rPr>
            <w:rStyle w:val="19"/>
            <w:rFonts w:ascii="Times New Roman" w:hAnsi="Times New Roman" w:cs="Times New Roman"/>
          </w:rPr>
          <w:fldChar w:fldCharType="begin"/>
        </w:r>
        <w:r>
          <w:rPr>
            <w:rStyle w:val="19"/>
            <w:rFonts w:ascii="Times New Roman" w:hAnsi="Times New Roman" w:cs="Times New Roman"/>
          </w:rPr>
          <w:instrText xml:space="preserve"> PAGE </w:instrText>
        </w:r>
        <w:r>
          <w:rPr>
            <w:rStyle w:val="19"/>
            <w:rFonts w:ascii="Times New Roman" w:hAnsi="Times New Roman" w:cs="Times New Roman"/>
          </w:rPr>
          <w:fldChar w:fldCharType="separate"/>
        </w:r>
        <w:r>
          <w:rPr>
            <w:rStyle w:val="19"/>
            <w:rFonts w:ascii="Times New Roman" w:hAnsi="Times New Roman" w:cs="Times New Roman"/>
          </w:rPr>
          <w:t>26</w:t>
        </w:r>
        <w:r>
          <w:rPr>
            <w:rStyle w:val="19"/>
            <w:rFonts w:ascii="Times New Roman" w:hAnsi="Times New Roman" w:cs="Times New Roman"/>
          </w:rPr>
          <w:fldChar w:fldCharType="end"/>
        </w:r>
      </w:p>
    </w:sdtContent>
  </w:sdt>
  <w:p w14:paraId="21D4CBF5">
    <w:pPr>
      <w:pStyle w:val="15"/>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811101559"/>
      <w:docPartObj>
        <w:docPartGallery w:val="autotext"/>
      </w:docPartObj>
    </w:sdtPr>
    <w:sdtEndPr>
      <w:rPr>
        <w:rStyle w:val="19"/>
      </w:rPr>
    </w:sdtEndPr>
    <w:sdtContent>
      <w:p w14:paraId="1CB04234">
        <w:pPr>
          <w:pStyle w:val="15"/>
          <w:framePr w:wrap="auto" w:vAnchor="text" w:hAnchor="margin" w:xAlign="center" w:y="1"/>
          <w:rPr>
            <w:rStyle w:val="19"/>
          </w:rPr>
        </w:pPr>
        <w:r>
          <w:rPr>
            <w:rStyle w:val="19"/>
          </w:rPr>
          <w:fldChar w:fldCharType="begin"/>
        </w:r>
        <w:r>
          <w:rPr>
            <w:rStyle w:val="19"/>
          </w:rPr>
          <w:instrText xml:space="preserve"> PAGE </w:instrText>
        </w:r>
        <w:r>
          <w:rPr>
            <w:rStyle w:val="19"/>
          </w:rPr>
          <w:fldChar w:fldCharType="end"/>
        </w:r>
      </w:p>
    </w:sdtContent>
  </w:sdt>
  <w:p w14:paraId="4AC4E753">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F6692"/>
    <w:multiLevelType w:val="multilevel"/>
    <w:tmpl w:val="001F66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2B0204"/>
    <w:multiLevelType w:val="multilevel"/>
    <w:tmpl w:val="012B02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17D4001"/>
    <w:multiLevelType w:val="multilevel"/>
    <w:tmpl w:val="017D40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4C62106"/>
    <w:multiLevelType w:val="multilevel"/>
    <w:tmpl w:val="14C621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B333A6B"/>
    <w:multiLevelType w:val="multilevel"/>
    <w:tmpl w:val="1B333A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E0566C0"/>
    <w:multiLevelType w:val="multilevel"/>
    <w:tmpl w:val="1E0566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43939BB"/>
    <w:multiLevelType w:val="singleLevel"/>
    <w:tmpl w:val="443939BB"/>
    <w:lvl w:ilvl="0" w:tentative="0">
      <w:start w:val="1"/>
      <w:numFmt w:val="decimal"/>
      <w:lvlText w:val="%1."/>
      <w:lvlJc w:val="left"/>
      <w:pPr>
        <w:tabs>
          <w:tab w:val="left" w:pos="425"/>
        </w:tabs>
        <w:ind w:left="425" w:leftChars="0" w:hanging="425" w:firstLineChars="0"/>
      </w:pPr>
      <w:rPr>
        <w:rFonts w:hint="default"/>
      </w:rPr>
    </w:lvl>
  </w:abstractNum>
  <w:abstractNum w:abstractNumId="7">
    <w:nsid w:val="482D2196"/>
    <w:multiLevelType w:val="multilevel"/>
    <w:tmpl w:val="482D21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E403145"/>
    <w:multiLevelType w:val="multilevel"/>
    <w:tmpl w:val="4E4031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0"/>
  </w:num>
  <w:num w:numId="3">
    <w:abstractNumId w:val="3"/>
  </w:num>
  <w:num w:numId="4">
    <w:abstractNumId w:val="4"/>
  </w:num>
  <w:num w:numId="5">
    <w:abstractNumId w:val="2"/>
  </w:num>
  <w:num w:numId="6">
    <w:abstractNumId w:val="1"/>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removePersonalInformation/>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183F"/>
    <w:rsid w:val="000123EC"/>
    <w:rsid w:val="0001671E"/>
    <w:rsid w:val="0002464E"/>
    <w:rsid w:val="000324BF"/>
    <w:rsid w:val="00034C35"/>
    <w:rsid w:val="00043125"/>
    <w:rsid w:val="00050350"/>
    <w:rsid w:val="0008267C"/>
    <w:rsid w:val="0016183F"/>
    <w:rsid w:val="00166CC1"/>
    <w:rsid w:val="001A5AC9"/>
    <w:rsid w:val="001B1951"/>
    <w:rsid w:val="00256293"/>
    <w:rsid w:val="002A3FA7"/>
    <w:rsid w:val="002A4F39"/>
    <w:rsid w:val="002D27DD"/>
    <w:rsid w:val="002D79A9"/>
    <w:rsid w:val="002E163C"/>
    <w:rsid w:val="002E6DA0"/>
    <w:rsid w:val="0036695D"/>
    <w:rsid w:val="00367EC1"/>
    <w:rsid w:val="003930A9"/>
    <w:rsid w:val="00447031"/>
    <w:rsid w:val="00461383"/>
    <w:rsid w:val="0048421D"/>
    <w:rsid w:val="0049481E"/>
    <w:rsid w:val="004A1BE7"/>
    <w:rsid w:val="004E0110"/>
    <w:rsid w:val="00572277"/>
    <w:rsid w:val="005913D0"/>
    <w:rsid w:val="005C08B8"/>
    <w:rsid w:val="006704E3"/>
    <w:rsid w:val="00685C1E"/>
    <w:rsid w:val="00686EF9"/>
    <w:rsid w:val="00693592"/>
    <w:rsid w:val="00712BC2"/>
    <w:rsid w:val="007163E6"/>
    <w:rsid w:val="00733F56"/>
    <w:rsid w:val="007534A1"/>
    <w:rsid w:val="007C1838"/>
    <w:rsid w:val="007D76FD"/>
    <w:rsid w:val="007E6C35"/>
    <w:rsid w:val="00836C86"/>
    <w:rsid w:val="00847C09"/>
    <w:rsid w:val="00854915"/>
    <w:rsid w:val="00881E6C"/>
    <w:rsid w:val="008E4B75"/>
    <w:rsid w:val="0094421C"/>
    <w:rsid w:val="0096461C"/>
    <w:rsid w:val="009708ED"/>
    <w:rsid w:val="00974C91"/>
    <w:rsid w:val="0097501C"/>
    <w:rsid w:val="00991652"/>
    <w:rsid w:val="009A4759"/>
    <w:rsid w:val="009B79EE"/>
    <w:rsid w:val="009C78CD"/>
    <w:rsid w:val="00A142D4"/>
    <w:rsid w:val="00A22FA3"/>
    <w:rsid w:val="00A2509D"/>
    <w:rsid w:val="00A26824"/>
    <w:rsid w:val="00A33A74"/>
    <w:rsid w:val="00A40C3E"/>
    <w:rsid w:val="00A96907"/>
    <w:rsid w:val="00AA56E5"/>
    <w:rsid w:val="00AC78CC"/>
    <w:rsid w:val="00AE0117"/>
    <w:rsid w:val="00AE06FC"/>
    <w:rsid w:val="00AE407A"/>
    <w:rsid w:val="00B124CB"/>
    <w:rsid w:val="00B20B2F"/>
    <w:rsid w:val="00B244B2"/>
    <w:rsid w:val="00B340AA"/>
    <w:rsid w:val="00B54EA1"/>
    <w:rsid w:val="00B83D6A"/>
    <w:rsid w:val="00BD2DCE"/>
    <w:rsid w:val="00BF61B0"/>
    <w:rsid w:val="00C15198"/>
    <w:rsid w:val="00C826EA"/>
    <w:rsid w:val="00CC575A"/>
    <w:rsid w:val="00D14EC8"/>
    <w:rsid w:val="00D261D5"/>
    <w:rsid w:val="00D63D5B"/>
    <w:rsid w:val="00D81585"/>
    <w:rsid w:val="00DD4ED4"/>
    <w:rsid w:val="00DE1F82"/>
    <w:rsid w:val="00E23260"/>
    <w:rsid w:val="00E23376"/>
    <w:rsid w:val="00E26B06"/>
    <w:rsid w:val="00E55668"/>
    <w:rsid w:val="00E871EB"/>
    <w:rsid w:val="00ED1C9B"/>
    <w:rsid w:val="00F36D3E"/>
    <w:rsid w:val="00F37F0F"/>
    <w:rsid w:val="00F54CE9"/>
    <w:rsid w:val="00FE2A83"/>
    <w:rsid w:val="02757B17"/>
    <w:rsid w:val="02E226C9"/>
    <w:rsid w:val="05C66F89"/>
    <w:rsid w:val="074C7C24"/>
    <w:rsid w:val="099E62D5"/>
    <w:rsid w:val="146177FD"/>
    <w:rsid w:val="14F270EC"/>
    <w:rsid w:val="19BF34CD"/>
    <w:rsid w:val="1B775432"/>
    <w:rsid w:val="1C243C3B"/>
    <w:rsid w:val="1C823FD5"/>
    <w:rsid w:val="1F8A3F4D"/>
    <w:rsid w:val="21536DBC"/>
    <w:rsid w:val="27F30B19"/>
    <w:rsid w:val="28CF72EA"/>
    <w:rsid w:val="2AC25434"/>
    <w:rsid w:val="2B88197A"/>
    <w:rsid w:val="2BAD4138"/>
    <w:rsid w:val="2C1837E7"/>
    <w:rsid w:val="2DA851F7"/>
    <w:rsid w:val="2FF005B4"/>
    <w:rsid w:val="2FF23AB7"/>
    <w:rsid w:val="307122AD"/>
    <w:rsid w:val="30D904D3"/>
    <w:rsid w:val="351F3735"/>
    <w:rsid w:val="36CD7F78"/>
    <w:rsid w:val="36DA728E"/>
    <w:rsid w:val="3776710C"/>
    <w:rsid w:val="38B21092"/>
    <w:rsid w:val="3B341131"/>
    <w:rsid w:val="3D3A278E"/>
    <w:rsid w:val="3E687887"/>
    <w:rsid w:val="3EAC0691"/>
    <w:rsid w:val="44C9546A"/>
    <w:rsid w:val="459403B6"/>
    <w:rsid w:val="490B63E4"/>
    <w:rsid w:val="499408C6"/>
    <w:rsid w:val="49F9606C"/>
    <w:rsid w:val="4C701BC7"/>
    <w:rsid w:val="501E223E"/>
    <w:rsid w:val="53F555CD"/>
    <w:rsid w:val="545A2D73"/>
    <w:rsid w:val="54BF0519"/>
    <w:rsid w:val="562D06F0"/>
    <w:rsid w:val="59614746"/>
    <w:rsid w:val="5B1F728F"/>
    <w:rsid w:val="5D1A034E"/>
    <w:rsid w:val="5D6361C4"/>
    <w:rsid w:val="5FDF4359"/>
    <w:rsid w:val="610F66BD"/>
    <w:rsid w:val="637A4B45"/>
    <w:rsid w:val="651B67EF"/>
    <w:rsid w:val="657C314D"/>
    <w:rsid w:val="6D756624"/>
    <w:rsid w:val="76A72C39"/>
    <w:rsid w:val="76DE2D93"/>
    <w:rsid w:val="77430539"/>
    <w:rsid w:val="7D0719AF"/>
    <w:rsid w:val="7D466F1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33"/>
    <w:qFormat/>
    <w:uiPriority w:val="9"/>
    <w:pPr>
      <w:keepNext/>
      <w:keepLines/>
      <w:spacing w:before="360" w:after="80" w:line="480" w:lineRule="auto"/>
      <w:outlineLvl w:val="0"/>
    </w:pPr>
    <w:rPr>
      <w:rFonts w:ascii="Times New Roman" w:hAnsi="Times New Roman" w:eastAsiaTheme="majorEastAsia" w:cstheme="majorBidi"/>
      <w:b/>
      <w:color w:val="000000" w:themeColor="text1"/>
      <w:szCs w:val="40"/>
      <w14:textFill>
        <w14:solidFill>
          <w14:schemeClr w14:val="tx1"/>
        </w14:solidFill>
      </w14:textFill>
    </w:rPr>
  </w:style>
  <w:style w:type="paragraph" w:styleId="3">
    <w:name w:val="heading 2"/>
    <w:basedOn w:val="1"/>
    <w:next w:val="1"/>
    <w:link w:val="34"/>
    <w:unhideWhenUsed/>
    <w:qFormat/>
    <w:uiPriority w:val="9"/>
    <w:pPr>
      <w:keepNext/>
      <w:keepLines/>
      <w:spacing w:before="160" w:after="80" w:line="480" w:lineRule="auto"/>
      <w:outlineLvl w:val="1"/>
    </w:pPr>
    <w:rPr>
      <w:rFonts w:ascii="Times New Roman" w:hAnsi="Times New Roman" w:eastAsiaTheme="majorEastAsia" w:cstheme="majorBidi"/>
      <w:b/>
      <w:color w:val="000000" w:themeColor="text1"/>
      <w:szCs w:val="32"/>
      <w14:textFill>
        <w14:solidFill>
          <w14:schemeClr w14:val="tx1"/>
        </w14:solidFill>
      </w14:textFill>
    </w:rPr>
  </w:style>
  <w:style w:type="paragraph" w:styleId="4">
    <w:name w:val="heading 3"/>
    <w:basedOn w:val="1"/>
    <w:next w:val="1"/>
    <w:link w:val="35"/>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2"/>
    <w:semiHidden/>
    <w:unhideWhenUsed/>
    <w:qFormat/>
    <w:uiPriority w:val="99"/>
    <w:pPr>
      <w:spacing w:after="0" w:line="240" w:lineRule="auto"/>
    </w:pPr>
    <w:rPr>
      <w:rFonts w:ascii="Tahoma" w:hAnsi="Tahoma" w:cs="Tahoma"/>
      <w:sz w:val="16"/>
      <w:szCs w:val="16"/>
    </w:rPr>
  </w:style>
  <w:style w:type="character" w:styleId="14">
    <w:name w:val="Emphasis"/>
    <w:basedOn w:val="11"/>
    <w:qFormat/>
    <w:uiPriority w:val="20"/>
    <w:rPr>
      <w:i/>
      <w:iCs/>
    </w:rPr>
  </w:style>
  <w:style w:type="paragraph" w:styleId="15">
    <w:name w:val="footer"/>
    <w:basedOn w:val="1"/>
    <w:link w:val="60"/>
    <w:unhideWhenUsed/>
    <w:qFormat/>
    <w:uiPriority w:val="99"/>
    <w:pPr>
      <w:tabs>
        <w:tab w:val="center" w:pos="4513"/>
        <w:tab w:val="right" w:pos="9026"/>
      </w:tabs>
      <w:spacing w:after="0" w:line="240" w:lineRule="auto"/>
    </w:pPr>
  </w:style>
  <w:style w:type="paragraph" w:styleId="16">
    <w:name w:val="header"/>
    <w:basedOn w:val="1"/>
    <w:link w:val="59"/>
    <w:unhideWhenUsed/>
    <w:qFormat/>
    <w:uiPriority w:val="99"/>
    <w:pPr>
      <w:tabs>
        <w:tab w:val="center" w:pos="4513"/>
        <w:tab w:val="right" w:pos="9026"/>
      </w:tabs>
      <w:spacing w:after="0" w:line="240" w:lineRule="auto"/>
    </w:pPr>
  </w:style>
  <w:style w:type="character" w:styleId="17">
    <w:name w:val="Hyperlink"/>
    <w:basedOn w:val="11"/>
    <w:unhideWhenUsed/>
    <w:qFormat/>
    <w:uiPriority w:val="99"/>
    <w:rPr>
      <w:color w:val="467886"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val="en-US"/>
      <w14:ligatures w14:val="none"/>
    </w:rPr>
  </w:style>
  <w:style w:type="character" w:styleId="19">
    <w:name w:val="page number"/>
    <w:basedOn w:val="11"/>
    <w:semiHidden/>
    <w:unhideWhenUsed/>
    <w:qFormat/>
    <w:uiPriority w:val="99"/>
  </w:style>
  <w:style w:type="character" w:styleId="20">
    <w:name w:val="Strong"/>
    <w:basedOn w:val="11"/>
    <w:qFormat/>
    <w:uiPriority w:val="22"/>
    <w:rPr>
      <w:b/>
      <w:bCs/>
    </w:rPr>
  </w:style>
  <w:style w:type="paragraph" w:styleId="21">
    <w:name w:val="Subtitle"/>
    <w:basedOn w:val="1"/>
    <w:next w:val="1"/>
    <w:link w:val="4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3">
    <w:name w:val="Title"/>
    <w:basedOn w:val="1"/>
    <w:next w:val="1"/>
    <w:link w:val="4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spacing w:before="120" w:after="120"/>
    </w:pPr>
    <w:rPr>
      <w:b/>
      <w:bCs/>
      <w:caps/>
      <w:sz w:val="20"/>
      <w:szCs w:val="20"/>
    </w:rPr>
  </w:style>
  <w:style w:type="paragraph" w:styleId="25">
    <w:name w:val="toc 2"/>
    <w:basedOn w:val="1"/>
    <w:next w:val="1"/>
    <w:autoRedefine/>
    <w:unhideWhenUsed/>
    <w:qFormat/>
    <w:uiPriority w:val="39"/>
    <w:pPr>
      <w:spacing w:after="0"/>
      <w:ind w:left="240"/>
    </w:pPr>
    <w:rPr>
      <w:smallCaps/>
      <w:sz w:val="20"/>
      <w:szCs w:val="20"/>
    </w:rPr>
  </w:style>
  <w:style w:type="paragraph" w:styleId="26">
    <w:name w:val="toc 3"/>
    <w:basedOn w:val="1"/>
    <w:next w:val="1"/>
    <w:autoRedefine/>
    <w:semiHidden/>
    <w:unhideWhenUsed/>
    <w:qFormat/>
    <w:uiPriority w:val="39"/>
    <w:pPr>
      <w:spacing w:after="0"/>
      <w:ind w:left="480"/>
    </w:pPr>
    <w:rPr>
      <w:i/>
      <w:iCs/>
      <w:sz w:val="20"/>
      <w:szCs w:val="20"/>
    </w:rPr>
  </w:style>
  <w:style w:type="paragraph" w:styleId="27">
    <w:name w:val="toc 4"/>
    <w:basedOn w:val="1"/>
    <w:next w:val="1"/>
    <w:autoRedefine/>
    <w:semiHidden/>
    <w:unhideWhenUsed/>
    <w:qFormat/>
    <w:uiPriority w:val="39"/>
    <w:pPr>
      <w:spacing w:after="0"/>
      <w:ind w:left="720"/>
    </w:pPr>
    <w:rPr>
      <w:sz w:val="18"/>
      <w:szCs w:val="18"/>
    </w:rPr>
  </w:style>
  <w:style w:type="paragraph" w:styleId="28">
    <w:name w:val="toc 5"/>
    <w:basedOn w:val="1"/>
    <w:next w:val="1"/>
    <w:autoRedefine/>
    <w:semiHidden/>
    <w:unhideWhenUsed/>
    <w:qFormat/>
    <w:uiPriority w:val="39"/>
    <w:pPr>
      <w:spacing w:after="0"/>
      <w:ind w:left="960"/>
    </w:pPr>
    <w:rPr>
      <w:sz w:val="18"/>
      <w:szCs w:val="18"/>
    </w:rPr>
  </w:style>
  <w:style w:type="paragraph" w:styleId="29">
    <w:name w:val="toc 6"/>
    <w:basedOn w:val="1"/>
    <w:next w:val="1"/>
    <w:autoRedefine/>
    <w:semiHidden/>
    <w:unhideWhenUsed/>
    <w:qFormat/>
    <w:uiPriority w:val="39"/>
    <w:pPr>
      <w:spacing w:after="0"/>
      <w:ind w:left="1200"/>
    </w:pPr>
    <w:rPr>
      <w:sz w:val="18"/>
      <w:szCs w:val="18"/>
    </w:rPr>
  </w:style>
  <w:style w:type="paragraph" w:styleId="30">
    <w:name w:val="toc 7"/>
    <w:basedOn w:val="1"/>
    <w:next w:val="1"/>
    <w:autoRedefine/>
    <w:semiHidden/>
    <w:unhideWhenUsed/>
    <w:qFormat/>
    <w:uiPriority w:val="39"/>
    <w:pPr>
      <w:spacing w:after="0"/>
      <w:ind w:left="1440"/>
    </w:pPr>
    <w:rPr>
      <w:sz w:val="18"/>
      <w:szCs w:val="18"/>
    </w:rPr>
  </w:style>
  <w:style w:type="paragraph" w:styleId="31">
    <w:name w:val="toc 8"/>
    <w:basedOn w:val="1"/>
    <w:next w:val="1"/>
    <w:autoRedefine/>
    <w:semiHidden/>
    <w:unhideWhenUsed/>
    <w:qFormat/>
    <w:uiPriority w:val="39"/>
    <w:pPr>
      <w:spacing w:after="0"/>
      <w:ind w:left="1680"/>
    </w:pPr>
    <w:rPr>
      <w:sz w:val="18"/>
      <w:szCs w:val="18"/>
    </w:rPr>
  </w:style>
  <w:style w:type="paragraph" w:styleId="32">
    <w:name w:val="toc 9"/>
    <w:basedOn w:val="1"/>
    <w:next w:val="1"/>
    <w:autoRedefine/>
    <w:semiHidden/>
    <w:unhideWhenUsed/>
    <w:qFormat/>
    <w:uiPriority w:val="39"/>
    <w:pPr>
      <w:spacing w:after="0"/>
      <w:ind w:left="1920"/>
    </w:pPr>
    <w:rPr>
      <w:sz w:val="18"/>
      <w:szCs w:val="18"/>
    </w:rPr>
  </w:style>
  <w:style w:type="character" w:customStyle="1" w:styleId="33">
    <w:name w:val="Heading 1 Char"/>
    <w:basedOn w:val="11"/>
    <w:link w:val="2"/>
    <w:qFormat/>
    <w:uiPriority w:val="9"/>
    <w:rPr>
      <w:rFonts w:ascii="Times New Roman" w:hAnsi="Times New Roman" w:eastAsiaTheme="majorEastAsia" w:cstheme="majorBidi"/>
      <w:b/>
      <w:color w:val="000000" w:themeColor="text1"/>
      <w:szCs w:val="40"/>
      <w14:textFill>
        <w14:solidFill>
          <w14:schemeClr w14:val="tx1"/>
        </w14:solidFill>
      </w14:textFill>
    </w:rPr>
  </w:style>
  <w:style w:type="character" w:customStyle="1" w:styleId="34">
    <w:name w:val="Heading 2 Char"/>
    <w:basedOn w:val="11"/>
    <w:link w:val="3"/>
    <w:qFormat/>
    <w:uiPriority w:val="9"/>
    <w:rPr>
      <w:rFonts w:ascii="Times New Roman" w:hAnsi="Times New Roman" w:eastAsiaTheme="majorEastAsia" w:cstheme="majorBidi"/>
      <w:b/>
      <w:color w:val="000000" w:themeColor="text1"/>
      <w:szCs w:val="32"/>
      <w14:textFill>
        <w14:solidFill>
          <w14:schemeClr w14:val="tx1"/>
        </w14:solidFill>
      </w14:textFill>
    </w:rPr>
  </w:style>
  <w:style w:type="character" w:customStyle="1" w:styleId="35">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36">
    <w:name w:val="Heading 4 Char"/>
    <w:basedOn w:val="11"/>
    <w:link w:val="5"/>
    <w:semiHidden/>
    <w:qFormat/>
    <w:uiPriority w:val="9"/>
    <w:rPr>
      <w:rFonts w:eastAsiaTheme="majorEastAsia" w:cstheme="majorBidi"/>
      <w:i/>
      <w:iCs/>
      <w:color w:val="104862" w:themeColor="accent1" w:themeShade="BF"/>
    </w:rPr>
  </w:style>
  <w:style w:type="character" w:customStyle="1" w:styleId="37">
    <w:name w:val="Heading 5 Char"/>
    <w:basedOn w:val="11"/>
    <w:link w:val="6"/>
    <w:semiHidden/>
    <w:qFormat/>
    <w:uiPriority w:val="9"/>
    <w:rPr>
      <w:rFonts w:eastAsiaTheme="majorEastAsia" w:cstheme="majorBidi"/>
      <w:color w:val="104862" w:themeColor="accent1" w:themeShade="BF"/>
    </w:rPr>
  </w:style>
  <w:style w:type="character" w:customStyle="1" w:styleId="3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2">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43">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Quote Char"/>
    <w:basedOn w:val="11"/>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qFormat/>
    <w:uiPriority w:val="34"/>
    <w:pPr>
      <w:ind w:left="720"/>
      <w:contextualSpacing/>
    </w:pPr>
  </w:style>
  <w:style w:type="character" w:customStyle="1" w:styleId="47">
    <w:name w:val="Intense Emphasis1"/>
    <w:basedOn w:val="11"/>
    <w:qFormat/>
    <w:uiPriority w:val="21"/>
    <w:rPr>
      <w:i/>
      <w:iCs/>
      <w:color w:val="104862" w:themeColor="accent1" w:themeShade="BF"/>
    </w:rPr>
  </w:style>
  <w:style w:type="paragraph" w:styleId="48">
    <w:name w:val="Intense Quote"/>
    <w:basedOn w:val="1"/>
    <w:next w:val="1"/>
    <w:link w:val="4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9">
    <w:name w:val="Intense Quote Char"/>
    <w:basedOn w:val="11"/>
    <w:link w:val="48"/>
    <w:qFormat/>
    <w:uiPriority w:val="30"/>
    <w:rPr>
      <w:i/>
      <w:iCs/>
      <w:color w:val="104862" w:themeColor="accent1" w:themeShade="BF"/>
    </w:rPr>
  </w:style>
  <w:style w:type="character" w:customStyle="1" w:styleId="50">
    <w:name w:val="Intense Reference1"/>
    <w:basedOn w:val="11"/>
    <w:qFormat/>
    <w:uiPriority w:val="32"/>
    <w:rPr>
      <w:b/>
      <w:bCs/>
      <w:smallCaps/>
      <w:color w:val="104862" w:themeColor="accent1" w:themeShade="BF"/>
      <w:spacing w:val="5"/>
    </w:rPr>
  </w:style>
  <w:style w:type="character" w:customStyle="1" w:styleId="51">
    <w:name w:val="katex-mathml"/>
    <w:basedOn w:val="11"/>
    <w:qFormat/>
    <w:uiPriority w:val="0"/>
  </w:style>
  <w:style w:type="character" w:customStyle="1" w:styleId="52">
    <w:name w:val="mord"/>
    <w:basedOn w:val="11"/>
    <w:qFormat/>
    <w:uiPriority w:val="0"/>
  </w:style>
  <w:style w:type="character" w:customStyle="1" w:styleId="53">
    <w:name w:val="mbin"/>
    <w:basedOn w:val="11"/>
    <w:qFormat/>
    <w:uiPriority w:val="0"/>
  </w:style>
  <w:style w:type="character" w:customStyle="1" w:styleId="54">
    <w:name w:val="vlist-s"/>
    <w:basedOn w:val="11"/>
    <w:uiPriority w:val="0"/>
  </w:style>
  <w:style w:type="character" w:customStyle="1" w:styleId="55">
    <w:name w:val="mop"/>
    <w:basedOn w:val="11"/>
    <w:qFormat/>
    <w:uiPriority w:val="0"/>
  </w:style>
  <w:style w:type="character" w:customStyle="1" w:styleId="56">
    <w:name w:val="mopen"/>
    <w:basedOn w:val="11"/>
    <w:qFormat/>
    <w:uiPriority w:val="0"/>
  </w:style>
  <w:style w:type="character" w:customStyle="1" w:styleId="57">
    <w:name w:val="mclose"/>
    <w:basedOn w:val="11"/>
    <w:qFormat/>
    <w:uiPriority w:val="0"/>
  </w:style>
  <w:style w:type="character" w:customStyle="1" w:styleId="58">
    <w:name w:val="mrel"/>
    <w:basedOn w:val="11"/>
    <w:uiPriority w:val="0"/>
  </w:style>
  <w:style w:type="character" w:customStyle="1" w:styleId="59">
    <w:name w:val="Header Char"/>
    <w:basedOn w:val="11"/>
    <w:link w:val="16"/>
    <w:uiPriority w:val="99"/>
  </w:style>
  <w:style w:type="character" w:customStyle="1" w:styleId="60">
    <w:name w:val="Footer Char"/>
    <w:basedOn w:val="11"/>
    <w:link w:val="15"/>
    <w:qFormat/>
    <w:uiPriority w:val="99"/>
  </w:style>
  <w:style w:type="paragraph" w:customStyle="1" w:styleId="61">
    <w:name w:val="TOC Heading1"/>
    <w:basedOn w:val="2"/>
    <w:next w:val="1"/>
    <w:unhideWhenUsed/>
    <w:qFormat/>
    <w:uiPriority w:val="39"/>
    <w:pPr>
      <w:spacing w:before="480" w:after="0" w:line="276" w:lineRule="auto"/>
      <w:outlineLvl w:val="9"/>
    </w:pPr>
    <w:rPr>
      <w:rFonts w:asciiTheme="majorHAnsi" w:hAnsiTheme="majorHAnsi"/>
      <w:bCs/>
      <w:color w:val="104862" w:themeColor="accent1" w:themeShade="BF"/>
      <w:kern w:val="0"/>
      <w:sz w:val="28"/>
      <w:szCs w:val="28"/>
      <w:lang w:val="en-US"/>
      <w14:ligatures w14:val="none"/>
    </w:rPr>
  </w:style>
  <w:style w:type="character" w:customStyle="1" w:styleId="62">
    <w:name w:val="Balloon Text Char"/>
    <w:basedOn w:val="11"/>
    <w:link w:val="13"/>
    <w:semiHidden/>
    <w:uiPriority w:val="99"/>
    <w:rPr>
      <w:rFonts w:ascii="Tahoma" w:hAnsi="Tahoma" w:cs="Tahoma"/>
      <w:kern w:val="2"/>
      <w:sz w:val="16"/>
      <w:szCs w:val="16"/>
      <w:lang w:val="en-GB"/>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5EEA3-5A0F-48BD-8B1B-A9A70FC2113D}">
  <ds:schemaRefs/>
</ds:datastoreItem>
</file>

<file path=docProps/app.xml><?xml version="1.0" encoding="utf-8"?>
<Properties xmlns="http://schemas.openxmlformats.org/officeDocument/2006/extended-properties" xmlns:vt="http://schemas.openxmlformats.org/officeDocument/2006/docPropsVTypes">
  <Template>Normal</Template>
  <Pages>26</Pages>
  <Words>6950</Words>
  <Characters>39620</Characters>
  <Lines>330</Lines>
  <Paragraphs>92</Paragraphs>
  <TotalTime>1</TotalTime>
  <ScaleCrop>false</ScaleCrop>
  <LinksUpToDate>false</LinksUpToDate>
  <CharactersWithSpaces>46478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2025-11-16T20:25:00Z</dcterms:created>
  <dcterms:modified xsi:type="dcterms:W3CDTF">2026-01-06T11:01:35Z</dcterms:modified>
  <cp:revision>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52bbee6f-f527-49aa-979b-c0c9c715baf3</vt:lpwstr>
  </property>
  <property fmtid="{D5CDD505-2E9C-101B-9397-08002B2CF9AE}" pid="3" name="KSOProductBuildVer">
    <vt:lpwstr>1033-12.2.0.23196</vt:lpwstr>
  </property>
  <property fmtid="{D5CDD505-2E9C-101B-9397-08002B2CF9AE}" pid="4" name="ICV">
    <vt:lpwstr>AD6ECEDEBC75463980E2BFEE96E2BE2B_12</vt:lpwstr>
  </property>
</Properties>
</file>