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Captrix AI — Blind Level 1 Financial Test</w:t>
      </w:r>
    </w:p>
    <w:p>
      <w:r>
        <w:rPr>
          <w:b/>
        </w:rPr>
        <w:t xml:space="preserve">Company: </w:t>
      </w:r>
      <w:r>
        <w:t>BlueOrbit Digital Services Pvt. Ltd.</w:t>
      </w:r>
    </w:p>
    <w:p>
      <w:r>
        <w:rPr>
          <w:b/>
        </w:rPr>
        <w:t xml:space="preserve">Financial Year: </w:t>
      </w:r>
      <w:r>
        <w:t>2025–26</w:t>
      </w:r>
    </w:p>
    <w:p>
      <w:r>
        <w:t>Fictional dataset for testing Captrix AI extraction, calculation, reconciliation, ratios, and analysis.</w:t>
      </w:r>
    </w:p>
    <w:p>
      <w:pPr>
        <w:pStyle w:val="Heading1"/>
      </w:pPr>
      <w:r>
        <w:t>1. Statement of Profit and Loss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Particulars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Revenue from Operations</w:t>
            </w:r>
          </w:p>
        </w:tc>
        <w:tc>
          <w:tcPr>
            <w:tcW w:type="dxa" w:w="4320"/>
          </w:tcPr>
          <w:p>
            <w:r>
              <w:t>1,250,000</w:t>
            </w:r>
          </w:p>
        </w:tc>
      </w:tr>
      <w:tr>
        <w:tc>
          <w:tcPr>
            <w:tcW w:type="dxa" w:w="4320"/>
          </w:tcPr>
          <w:p>
            <w:r>
              <w:t>Cost of Goods Sold</w:t>
            </w:r>
          </w:p>
        </w:tc>
        <w:tc>
          <w:tcPr>
            <w:tcW w:type="dxa" w:w="4320"/>
          </w:tcPr>
          <w:p>
            <w:r>
              <w:t>720,000</w:t>
            </w:r>
          </w:p>
        </w:tc>
      </w:tr>
      <w:tr>
        <w:tc>
          <w:tcPr>
            <w:tcW w:type="dxa" w:w="4320"/>
          </w:tcPr>
          <w:p>
            <w:r>
              <w:t>Employee &amp; Administrative Expenses</w:t>
            </w:r>
          </w:p>
        </w:tc>
        <w:tc>
          <w:tcPr>
            <w:tcW w:type="dxa" w:w="4320"/>
          </w:tcPr>
          <w:p>
            <w:r>
              <w:t>260,000</w:t>
            </w:r>
          </w:p>
        </w:tc>
      </w:tr>
      <w:tr>
        <w:tc>
          <w:tcPr>
            <w:tcW w:type="dxa" w:w="4320"/>
          </w:tcPr>
          <w:p>
            <w:r>
              <w:t>Depreciation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  <w:tr>
        <w:tc>
          <w:tcPr>
            <w:tcW w:type="dxa" w:w="4320"/>
          </w:tcPr>
          <w:p>
            <w:r>
              <w:t>Finance Costs</w:t>
            </w:r>
          </w:p>
        </w:tc>
        <w:tc>
          <w:tcPr>
            <w:tcW w:type="dxa" w:w="4320"/>
          </w:tcPr>
          <w:p>
            <w:r>
              <w:t>30,000</w:t>
            </w:r>
          </w:p>
        </w:tc>
      </w:tr>
      <w:tr>
        <w:tc>
          <w:tcPr>
            <w:tcW w:type="dxa" w:w="4320"/>
          </w:tcPr>
          <w:p>
            <w:r>
              <w:t>Income Tax Expense</w:t>
            </w:r>
          </w:p>
        </w:tc>
        <w:tc>
          <w:tcPr>
            <w:tcW w:type="dxa" w:w="4320"/>
          </w:tcPr>
          <w:p>
            <w:r>
              <w:t>38,000</w:t>
            </w:r>
          </w:p>
        </w:tc>
      </w:tr>
    </w:tbl>
    <w:p>
      <w:r>
        <w:t>Profit figures are intentionally not separately provided. Captrix should derive them.</w:t>
      </w:r>
    </w:p>
    <w:p>
      <w:pPr>
        <w:pStyle w:val="Heading1"/>
      </w:pPr>
      <w:r>
        <w:t>2. 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Particulars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Cash and Cash Equivalents</w:t>
            </w:r>
          </w:p>
        </w:tc>
        <w:tc>
          <w:tcPr>
            <w:tcW w:type="dxa" w:w="4320"/>
          </w:tcPr>
          <w:p>
            <w:r>
              <w:t>180,000</w:t>
            </w:r>
          </w:p>
        </w:tc>
      </w:tr>
      <w:tr>
        <w:tc>
          <w:tcPr>
            <w:tcW w:type="dxa" w:w="4320"/>
          </w:tcPr>
          <w:p>
            <w:r>
              <w:t>Trade Receivables</w:t>
            </w:r>
          </w:p>
        </w:tc>
        <w:tc>
          <w:tcPr>
            <w:tcW w:type="dxa" w:w="4320"/>
          </w:tcPr>
          <w:p>
            <w:r>
              <w:t>210,000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140,000</w:t>
            </w:r>
          </w:p>
        </w:tc>
      </w:tr>
      <w:tr>
        <w:tc>
          <w:tcPr>
            <w:tcW w:type="dxa" w:w="4320"/>
          </w:tcPr>
          <w:p>
            <w:r>
              <w:t>Other Current Assets</w:t>
            </w:r>
          </w:p>
        </w:tc>
        <w:tc>
          <w:tcPr>
            <w:tcW w:type="dxa" w:w="4320"/>
          </w:tcPr>
          <w:p>
            <w:r>
              <w:t>70,000</w:t>
            </w:r>
          </w:p>
        </w:tc>
      </w:tr>
      <w:tr>
        <w:tc>
          <w:tcPr>
            <w:tcW w:type="dxa" w:w="4320"/>
          </w:tcPr>
          <w:p>
            <w:r>
              <w:t>Property, Plant &amp; Equipment</w:t>
            </w:r>
          </w:p>
        </w:tc>
        <w:tc>
          <w:tcPr>
            <w:tcW w:type="dxa" w:w="4320"/>
          </w:tcPr>
          <w:p>
            <w:r>
              <w:t>650,000</w:t>
            </w:r>
          </w:p>
        </w:tc>
      </w:tr>
      <w:tr>
        <w:tc>
          <w:tcPr>
            <w:tcW w:type="dxa" w:w="4320"/>
          </w:tcPr>
          <w:p>
            <w:r>
              <w:t>Trade Payables</w:t>
            </w:r>
          </w:p>
        </w:tc>
        <w:tc>
          <w:tcPr>
            <w:tcW w:type="dxa" w:w="4320"/>
          </w:tcPr>
          <w:p>
            <w:r>
              <w:t>120,000</w:t>
            </w:r>
          </w:p>
        </w:tc>
      </w:tr>
      <w:tr>
        <w:tc>
          <w:tcPr>
            <w:tcW w:type="dxa" w:w="4320"/>
          </w:tcPr>
          <w:p>
            <w:r>
              <w:t>Short-Term Borrowings</w:t>
            </w:r>
          </w:p>
        </w:tc>
        <w:tc>
          <w:tcPr>
            <w:tcW w:type="dxa" w:w="4320"/>
          </w:tcPr>
          <w:p>
            <w:r>
              <w:t>100,000</w:t>
            </w:r>
          </w:p>
        </w:tc>
      </w:tr>
      <w:tr>
        <w:tc>
          <w:tcPr>
            <w:tcW w:type="dxa" w:w="4320"/>
          </w:tcPr>
          <w:p>
            <w:r>
              <w:t>Other Current Liabilities</w:t>
            </w:r>
          </w:p>
        </w:tc>
        <w:tc>
          <w:tcPr>
            <w:tcW w:type="dxa" w:w="4320"/>
          </w:tcPr>
          <w:p>
            <w:r>
              <w:t>80,000</w:t>
            </w:r>
          </w:p>
        </w:tc>
      </w:tr>
      <w:tr>
        <w:tc>
          <w:tcPr>
            <w:tcW w:type="dxa" w:w="4320"/>
          </w:tcPr>
          <w:p>
            <w:r>
              <w:t>Long-Term Borrowings</w:t>
            </w:r>
          </w:p>
        </w:tc>
        <w:tc>
          <w:tcPr>
            <w:tcW w:type="dxa" w:w="4320"/>
          </w:tcPr>
          <w:p>
            <w:r>
              <w:t>250,000</w:t>
            </w:r>
          </w:p>
        </w:tc>
      </w:tr>
      <w:tr>
        <w:tc>
          <w:tcPr>
            <w:tcW w:type="dxa" w:w="4320"/>
          </w:tcPr>
          <w:p>
            <w:r>
              <w:t>Shareholders' Equity</w:t>
            </w:r>
          </w:p>
        </w:tc>
        <w:tc>
          <w:tcPr>
            <w:tcW w:type="dxa" w:w="4320"/>
          </w:tcPr>
          <w:p>
            <w:r>
              <w:t>700,000</w:t>
            </w:r>
          </w:p>
        </w:tc>
      </w:tr>
    </w:tbl>
    <w:p>
      <w:r>
        <w:t>Total assets and total liabilities/equity are intentionally not separately provided. Captrix should derive and reconcile them.</w:t>
      </w:r>
    </w:p>
    <w:p>
      <w:pPr>
        <w:pStyle w:val="Heading1"/>
      </w:pPr>
      <w:r>
        <w:t>3. Cash Flow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Particulars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Net Cash Generated from Operating Activities</w:t>
            </w:r>
          </w:p>
        </w:tc>
        <w:tc>
          <w:tcPr>
            <w:tcW w:type="dxa" w:w="4320"/>
          </w:tcPr>
          <w:p>
            <w:r>
              <w:t>210,000</w:t>
            </w:r>
          </w:p>
        </w:tc>
      </w:tr>
      <w:tr>
        <w:tc>
          <w:tcPr>
            <w:tcW w:type="dxa" w:w="4320"/>
          </w:tcPr>
          <w:p>
            <w:r>
              <w:t>Purchase of Property, Plant &amp; Equipment</w:t>
            </w:r>
          </w:p>
        </w:tc>
        <w:tc>
          <w:tcPr>
            <w:tcW w:type="dxa" w:w="4320"/>
          </w:tcPr>
          <w:p>
            <w:r>
              <w:t>-120,000</w:t>
            </w:r>
          </w:p>
        </w:tc>
      </w:tr>
      <w:tr>
        <w:tc>
          <w:tcPr>
            <w:tcW w:type="dxa" w:w="4320"/>
          </w:tcPr>
          <w:p>
            <w:r>
              <w:t>Proceeds from Borrowings</w:t>
            </w:r>
          </w:p>
        </w:tc>
        <w:tc>
          <w:tcPr>
            <w:tcW w:type="dxa" w:w="4320"/>
          </w:tcPr>
          <w:p>
            <w:r>
              <w:t>80,000</w:t>
            </w:r>
          </w:p>
        </w:tc>
      </w:tr>
      <w:tr>
        <w:tc>
          <w:tcPr>
            <w:tcW w:type="dxa" w:w="4320"/>
          </w:tcPr>
          <w:p>
            <w:r>
              <w:t>Repayment of Borrowings</w:t>
            </w:r>
          </w:p>
        </w:tc>
        <w:tc>
          <w:tcPr>
            <w:tcW w:type="dxa" w:w="4320"/>
          </w:tcPr>
          <w:p>
            <w:r>
              <w:t>-50,000</w:t>
            </w:r>
          </w:p>
        </w:tc>
      </w:tr>
      <w:tr>
        <w:tc>
          <w:tcPr>
            <w:tcW w:type="dxa" w:w="4320"/>
          </w:tcPr>
          <w:p>
            <w:r>
              <w:t>Opening Cash Balance</w:t>
            </w:r>
          </w:p>
        </w:tc>
        <w:tc>
          <w:tcPr>
            <w:tcW w:type="dxa" w:w="4320"/>
          </w:tcPr>
          <w:p>
            <w:r>
              <w:t>60,000</w:t>
            </w:r>
          </w:p>
        </w:tc>
      </w:tr>
    </w:tbl>
    <w:p>
      <w:r>
        <w:t>Closing cash should be derived and compared with the balance-sheet cash balance.</w:t>
      </w:r>
    </w:p>
    <w:p>
      <w:pPr>
        <w:pStyle w:val="Heading1"/>
      </w:pPr>
      <w:r>
        <w:t>4. Testing Requirements</w:t>
      </w:r>
    </w:p>
    <w:p>
      <w:pPr>
        <w:pStyle w:val="ListNumber"/>
      </w:pPr>
      <w:r>
        <w:t>Extract all financial values without changing source data.</w:t>
      </w:r>
    </w:p>
    <w:p>
      <w:pPr>
        <w:pStyle w:val="ListNumber"/>
      </w:pPr>
      <w:r>
        <w:t>Calculate gross profit, operating profit, profit before tax, and net profit.</w:t>
      </w:r>
    </w:p>
    <w:p>
      <w:pPr>
        <w:pStyle w:val="ListNumber"/>
      </w:pPr>
      <w:r>
        <w:t>Calculate total assets, total liabilities, and equity reconciliation.</w:t>
      </w:r>
    </w:p>
    <w:p>
      <w:pPr>
        <w:pStyle w:val="ListNumber"/>
      </w:pPr>
      <w:r>
        <w:t>Check whether the accounting equation balances.</w:t>
      </w:r>
    </w:p>
    <w:p>
      <w:pPr>
        <w:pStyle w:val="ListNumber"/>
      </w:pPr>
      <w:r>
        <w:t>Reconcile opening cash, cash-flow movements, and closing cash.</w:t>
      </w:r>
    </w:p>
    <w:p>
      <w:pPr>
        <w:pStyle w:val="ListNumber"/>
      </w:pPr>
      <w:r>
        <w:t>Calculate only ratios supported by the available data.</w:t>
      </w:r>
    </w:p>
    <w:p>
      <w:pPr>
        <w:pStyle w:val="ListNumber"/>
      </w:pPr>
      <w:r>
        <w:t>Show the formula and inputs used for each ratio.</w:t>
      </w:r>
    </w:p>
    <w:p>
      <w:pPr>
        <w:pStyle w:val="ListNumber"/>
      </w:pPr>
      <w:r>
        <w:t>Do not invent missing values, industry benchmarks, or unsupported assumptions.</w:t>
      </w:r>
    </w:p>
    <w:p>
      <w:pPr>
        <w:pStyle w:val="ListNumber"/>
      </w:pPr>
      <w:r>
        <w:t>Flag inconsistencies instead of silently correcting source data.</w:t>
      </w:r>
    </w:p>
    <w:p>
      <w:pPr>
        <w:pStyle w:val="ListNumber"/>
      </w:pPr>
      <w:r>
        <w:t>Generate financial-analysis findings, not a statutory audit opinion.</w:t>
      </w:r>
    </w:p>
    <w:p>
      <w:pPr>
        <w:pStyle w:val="Heading1"/>
      </w:pPr>
      <w:r>
        <w:t>Blind-Test Rule</w:t>
      </w:r>
    </w:p>
    <w:p>
      <w:r>
        <w:t>Do not add expected answers to this document before uploading it to Captrix. The goal is to test Captrix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