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TATA MOTORS (SA) PROPRIETARY LIMITED</w:t>
      </w:r>
    </w:p>
    <w:p>
      <w:pPr>
        <w:jc w:val="center"/>
      </w:pPr>
      <w:r>
        <w:rPr>
          <w:b/>
          <w:sz w:val="26"/>
        </w:rPr>
        <w:t>ACCOUNTS — AI-READABLE DATA ONLY</w:t>
      </w:r>
    </w:p>
    <w:p>
      <w:pPr>
        <w:jc w:val="center"/>
      </w:pPr>
      <w:r>
        <w:rPr>
          <w:i/>
          <w:sz w:val="18"/>
        </w:rPr>
        <w:t>Source figures preserved exactly as presented in the supplied document. No calculations or corrections added.</w:t>
      </w:r>
    </w:p>
    <w:p>
      <w:pPr>
        <w:pStyle w:val="Heading1"/>
        <w:jc w:val="center"/>
      </w:pPr>
      <w:r>
        <w:t>STATEMENT OF FINANCIAL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</w:rPr>
              <w:t>ACCOUNT / LINE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2022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2021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Assets</w:t>
            </w:r>
          </w:p>
        </w:tc>
      </w:tr>
      <w:tr>
        <w:tc>
          <w:tcPr>
            <w:tcW w:type="dxa" w:w="3552"/>
            <w:vAlign w:val="center"/>
          </w:tcPr>
          <w:p>
            <w:r>
              <w:t>Property, plant and equipment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10,969,822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11,645,702</w:t>
            </w:r>
          </w:p>
        </w:tc>
      </w:tr>
      <w:tr>
        <w:tc>
          <w:tcPr>
            <w:tcW w:type="dxa" w:w="3552"/>
            <w:vAlign w:val="center"/>
          </w:tcPr>
          <w:p>
            <w:r>
              <w:t>Right-of-use assets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6,030,128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8,829,849</w:t>
            </w:r>
          </w:p>
        </w:tc>
      </w:tr>
      <w:tr>
        <w:tc>
          <w:tcPr>
            <w:tcW w:type="dxa" w:w="3552"/>
            <w:vAlign w:val="center"/>
          </w:tcPr>
          <w:p>
            <w:r>
              <w:t>Intangible assets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</w:tr>
      <w:tr>
        <w:tc>
          <w:tcPr>
            <w:tcW w:type="dxa" w:w="3552"/>
            <w:vAlign w:val="center"/>
          </w:tcPr>
          <w:p>
            <w:r>
              <w:t>Current assets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152,222,363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266,636,564</w:t>
            </w:r>
          </w:p>
        </w:tc>
      </w:tr>
      <w:tr>
        <w:tc>
          <w:tcPr>
            <w:tcW w:type="dxa" w:w="3552"/>
            <w:vAlign w:val="center"/>
          </w:tcPr>
          <w:p>
            <w:r>
              <w:t>Inventories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86,223,388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95,669,624</w:t>
            </w:r>
          </w:p>
        </w:tc>
      </w:tr>
      <w:tr>
        <w:tc>
          <w:tcPr>
            <w:tcW w:type="dxa" w:w="3552"/>
            <w:vAlign w:val="center"/>
          </w:tcPr>
          <w:p>
            <w:r>
              <w:t>Tax asset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10,913</w:t>
            </w:r>
          </w:p>
        </w:tc>
      </w:tr>
      <w:tr>
        <w:tc>
          <w:tcPr>
            <w:tcW w:type="dxa" w:w="3552"/>
            <w:vAlign w:val="center"/>
          </w:tcPr>
          <w:p>
            <w:r>
              <w:t>Trade and other receivables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57,228,642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163,847,929</w:t>
            </w:r>
          </w:p>
        </w:tc>
      </w:tr>
      <w:tr>
        <w:tc>
          <w:tcPr>
            <w:tcW w:type="dxa" w:w="3552"/>
            <w:vAlign w:val="center"/>
          </w:tcPr>
          <w:p>
            <w:r>
              <w:t>Cash and cash equivalents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8,770,333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7,108,098</w:t>
            </w:r>
          </w:p>
        </w:tc>
      </w:tr>
      <w:tr>
        <w:tc>
          <w:tcPr>
            <w:tcW w:type="dxa" w:w="3552"/>
            <w:vAlign w:val="center"/>
          </w:tcPr>
          <w:p>
            <w:r>
              <w:t>Total assets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169,222,313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287,112,115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Equity and Liabilities</w:t>
            </w:r>
          </w:p>
        </w:tc>
      </w:tr>
      <w:tr>
        <w:tc>
          <w:tcPr>
            <w:tcW w:type="dxa" w:w="3552"/>
            <w:vAlign w:val="center"/>
          </w:tcPr>
          <w:p>
            <w:r>
              <w:t>Equity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45,816,924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37,342,413</w:t>
            </w:r>
          </w:p>
        </w:tc>
      </w:tr>
      <w:tr>
        <w:tc>
          <w:tcPr>
            <w:tcW w:type="dxa" w:w="3552"/>
            <w:vAlign w:val="center"/>
          </w:tcPr>
          <w:p>
            <w:r>
              <w:t>Share capital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19,837,000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19,837,000</w:t>
            </w:r>
          </w:p>
        </w:tc>
      </w:tr>
      <w:tr>
        <w:tc>
          <w:tcPr>
            <w:tcW w:type="dxa" w:w="3552"/>
            <w:vAlign w:val="center"/>
          </w:tcPr>
          <w:p>
            <w:r>
              <w:t>Retained earnings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25,979,924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17,505,413</w:t>
            </w:r>
          </w:p>
        </w:tc>
      </w:tr>
      <w:tr>
        <w:tc>
          <w:tcPr>
            <w:tcW w:type="dxa" w:w="3552"/>
            <w:vAlign w:val="center"/>
          </w:tcPr>
          <w:p>
            <w:r>
              <w:t>Non-Current Liabilities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6,048,531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15,793,130</w:t>
            </w:r>
          </w:p>
        </w:tc>
      </w:tr>
      <w:tr>
        <w:tc>
          <w:tcPr>
            <w:tcW w:type="dxa" w:w="3552"/>
            <w:vAlign w:val="center"/>
          </w:tcPr>
          <w:p>
            <w:r>
              <w:t>Shareholder loans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6,329,800</w:t>
            </w:r>
          </w:p>
        </w:tc>
      </w:tr>
      <w:tr>
        <w:tc>
          <w:tcPr>
            <w:tcW w:type="dxa" w:w="3552"/>
            <w:vAlign w:val="center"/>
          </w:tcPr>
          <w:p>
            <w:r>
              <w:t>Deferred taxation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441,501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862,174</w:t>
            </w:r>
          </w:p>
        </w:tc>
      </w:tr>
      <w:tr>
        <w:tc>
          <w:tcPr>
            <w:tcW w:type="dxa" w:w="3552"/>
            <w:vAlign w:val="center"/>
          </w:tcPr>
          <w:p>
            <w:r>
              <w:t>Deferred income – long term (government grant)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1,477,446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1,641,606</w:t>
            </w:r>
          </w:p>
        </w:tc>
      </w:tr>
      <w:tr>
        <w:tc>
          <w:tcPr>
            <w:tcW w:type="dxa" w:w="3552"/>
            <w:vAlign w:val="center"/>
          </w:tcPr>
          <w:p>
            <w:r>
              <w:t>Right-of-use liabilities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4,129,584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6,959,550</w:t>
            </w:r>
          </w:p>
        </w:tc>
      </w:tr>
      <w:tr>
        <w:tc>
          <w:tcPr>
            <w:tcW w:type="dxa" w:w="3552"/>
            <w:vAlign w:val="center"/>
          </w:tcPr>
          <w:p>
            <w:r>
              <w:t>Current liabilities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117,356,858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233,976,572</w:t>
            </w:r>
          </w:p>
        </w:tc>
      </w:tr>
      <w:tr>
        <w:tc>
          <w:tcPr>
            <w:tcW w:type="dxa" w:w="3552"/>
            <w:vAlign w:val="center"/>
          </w:tcPr>
          <w:p>
            <w:r>
              <w:t>Bank Overdraft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96,162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4,213,545</w:t>
            </w:r>
          </w:p>
        </w:tc>
      </w:tr>
      <w:tr>
        <w:tc>
          <w:tcPr>
            <w:tcW w:type="dxa" w:w="3552"/>
            <w:vAlign w:val="center"/>
          </w:tcPr>
          <w:p>
            <w:r>
              <w:t>Trade and other payables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115,191,055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228,811,903</w:t>
            </w:r>
          </w:p>
        </w:tc>
      </w:tr>
      <w:tr>
        <w:tc>
          <w:tcPr>
            <w:tcW w:type="dxa" w:w="3552"/>
            <w:vAlign w:val="center"/>
          </w:tcPr>
          <w:p>
            <w:r>
              <w:t>Provisions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981,564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786,964</w:t>
            </w:r>
          </w:p>
        </w:tc>
      </w:tr>
      <w:tr>
        <w:tc>
          <w:tcPr>
            <w:tcW w:type="dxa" w:w="3552"/>
            <w:vAlign w:val="center"/>
          </w:tcPr>
          <w:p>
            <w:r>
              <w:t>Deferred income - short term (government grant)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164,160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164,160</w:t>
            </w:r>
          </w:p>
        </w:tc>
      </w:tr>
      <w:tr>
        <w:tc>
          <w:tcPr>
            <w:tcW w:type="dxa" w:w="3552"/>
            <w:vAlign w:val="center"/>
          </w:tcPr>
          <w:p>
            <w:r>
              <w:t>Tax liability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923,917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</w:tr>
      <w:tr>
        <w:tc>
          <w:tcPr>
            <w:tcW w:type="dxa" w:w="3552"/>
            <w:vAlign w:val="center"/>
          </w:tcPr>
          <w:p>
            <w:r>
              <w:t>Total equity and liabilities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169,222,313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287,112,115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STATEMENT OF PROFIT OR LOSS AND OTHER COMPREHENSIVE INCOME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</w:rPr>
              <w:t>ACCOUNT / LINE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2022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2021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Income statement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t>Revenue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330,189,883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290,955,346</w:t>
            </w:r>
          </w:p>
        </w:tc>
      </w:tr>
      <w:tr>
        <w:tc>
          <w:tcPr>
            <w:tcW w:type="dxa" w:w="3552"/>
            <w:vAlign w:val="center"/>
          </w:tcPr>
          <w:p>
            <w:r>
              <w:t>Cost of sales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(309,779,307)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(279,313,429)</w:t>
            </w:r>
          </w:p>
        </w:tc>
      </w:tr>
      <w:tr>
        <w:tc>
          <w:tcPr>
            <w:tcW w:type="dxa" w:w="3552"/>
            <w:vAlign w:val="center"/>
          </w:tcPr>
          <w:p>
            <w:r>
              <w:t>Gross profit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20,410,576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11,641,917</w:t>
            </w:r>
          </w:p>
        </w:tc>
      </w:tr>
      <w:tr>
        <w:tc>
          <w:tcPr>
            <w:tcW w:type="dxa" w:w="3552"/>
            <w:vAlign w:val="center"/>
          </w:tcPr>
          <w:p>
            <w:r>
              <w:t>Other income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1,394,656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1,249,374</w:t>
            </w:r>
          </w:p>
        </w:tc>
      </w:tr>
      <w:tr>
        <w:tc>
          <w:tcPr>
            <w:tcW w:type="dxa" w:w="3552"/>
            <w:vAlign w:val="center"/>
          </w:tcPr>
          <w:p>
            <w:r>
              <w:t>Administrative and operating expenses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(8,829,872)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(7,895,684)</w:t>
            </w:r>
          </w:p>
        </w:tc>
      </w:tr>
      <w:tr>
        <w:tc>
          <w:tcPr>
            <w:tcW w:type="dxa" w:w="3552"/>
            <w:vAlign w:val="center"/>
          </w:tcPr>
          <w:p>
            <w:r>
              <w:t>Profit from operations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12,975,360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4,995,607</w:t>
            </w:r>
          </w:p>
        </w:tc>
      </w:tr>
      <w:tr>
        <w:tc>
          <w:tcPr>
            <w:tcW w:type="dxa" w:w="3552"/>
            <w:vAlign w:val="center"/>
          </w:tcPr>
          <w:p>
            <w:r>
              <w:t>Interest received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958,687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1,092,194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Finance costs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(1,248,878)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(1,776,441)</w:t>
            </w:r>
          </w:p>
        </w:tc>
      </w:tr>
      <w:tr>
        <w:tc>
          <w:tcPr>
            <w:tcW w:type="dxa" w:w="3552"/>
            <w:vAlign w:val="center"/>
          </w:tcPr>
          <w:p>
            <w:r>
              <w:t>Profit before taxation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12,685,169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4,311,360</w:t>
            </w:r>
          </w:p>
        </w:tc>
      </w:tr>
      <w:tr>
        <w:tc>
          <w:tcPr>
            <w:tcW w:type="dxa" w:w="3552"/>
            <w:vAlign w:val="center"/>
          </w:tcPr>
          <w:p>
            <w:r>
              <w:t>Taxation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(4,210,658)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(1,269,912)</w:t>
            </w:r>
          </w:p>
        </w:tc>
      </w:tr>
      <w:tr>
        <w:tc>
          <w:tcPr>
            <w:tcW w:type="dxa" w:w="3552"/>
            <w:vAlign w:val="center"/>
          </w:tcPr>
          <w:p>
            <w:r>
              <w:t>Net profit for the year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8,474,511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3,041,448</w:t>
            </w:r>
          </w:p>
        </w:tc>
      </w:tr>
      <w:tr>
        <w:tc>
          <w:tcPr>
            <w:tcW w:type="dxa" w:w="3552"/>
            <w:vAlign w:val="center"/>
          </w:tcPr>
          <w:p>
            <w:r>
              <w:t>Other comprehensive income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</w:tr>
      <w:tr>
        <w:tc>
          <w:tcPr>
            <w:tcW w:type="dxa" w:w="3552"/>
            <w:vAlign w:val="center"/>
          </w:tcPr>
          <w:p>
            <w:r>
              <w:t>Total comprehensive income for the year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8,474,511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3,041,448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STATEMENT OF CHANGES IN EQUITY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</w:rPr>
              <w:t>ACCOUNT / LINE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2022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2021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Equity movements</w:t>
            </w:r>
          </w:p>
        </w:tc>
      </w:tr>
      <w:tr>
        <w:tc>
          <w:tcPr>
            <w:tcW w:type="dxa" w:w="3552"/>
            <w:vAlign w:val="center"/>
          </w:tcPr>
          <w:p>
            <w:r>
              <w:t>Total comprehensive income for the period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3,041,448</w:t>
            </w:r>
          </w:p>
        </w:tc>
      </w:tr>
      <w:tr>
        <w:tc>
          <w:tcPr>
            <w:tcW w:type="dxa" w:w="3552"/>
            <w:vAlign w:val="center"/>
          </w:tcPr>
          <w:p>
            <w:r>
              <w:t>Balance at 1 April 2021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19,837,000 / 17,505,413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37,342,413</w:t>
            </w:r>
          </w:p>
        </w:tc>
      </w:tr>
      <w:tr>
        <w:tc>
          <w:tcPr>
            <w:tcW w:type="dxa" w:w="3552"/>
            <w:vAlign w:val="center"/>
          </w:tcPr>
          <w:p>
            <w:r>
              <w:t>Total comprehensive income for the period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 / 8,474,511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8,474,511</w:t>
            </w:r>
          </w:p>
        </w:tc>
      </w:tr>
      <w:tr>
        <w:tc>
          <w:tcPr>
            <w:tcW w:type="dxa" w:w="3552"/>
            <w:vAlign w:val="center"/>
          </w:tcPr>
          <w:p>
            <w:r>
              <w:t>Balance at 31 March 2022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19,837,000 / 25,979,924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45,816,924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STATEMENT OF CASH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</w:rPr>
              <w:t>ACCOUNT / LINE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2022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2021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Cash flows from operating activities</w:t>
            </w:r>
          </w:p>
        </w:tc>
      </w:tr>
      <w:tr>
        <w:tc>
          <w:tcPr>
            <w:tcW w:type="dxa" w:w="3552"/>
            <w:vAlign w:val="center"/>
          </w:tcPr>
          <w:p>
            <w:r>
              <w:t>Cash generated from operations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21,498,127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11,959,614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Finance costs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(3,613,206)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(865,724)</w:t>
            </w:r>
          </w:p>
        </w:tc>
      </w:tr>
      <w:tr>
        <w:tc>
          <w:tcPr>
            <w:tcW w:type="dxa" w:w="3552"/>
            <w:vAlign w:val="center"/>
          </w:tcPr>
          <w:p>
            <w:r>
              <w:t>Interest received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958,687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1,092,194</w:t>
            </w:r>
          </w:p>
        </w:tc>
      </w:tr>
      <w:tr>
        <w:tc>
          <w:tcPr>
            <w:tcW w:type="dxa" w:w="3552"/>
            <w:vAlign w:val="center"/>
          </w:tcPr>
          <w:p>
            <w:r>
              <w:t>Taxation paid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(3,696,502)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(1,823,369)</w:t>
            </w:r>
          </w:p>
        </w:tc>
      </w:tr>
      <w:tr>
        <w:tc>
          <w:tcPr>
            <w:tcW w:type="dxa" w:w="3552"/>
            <w:vAlign w:val="center"/>
          </w:tcPr>
          <w:p>
            <w:r>
              <w:t>Net cash inflows from operating activities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15,147,106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10,362,715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Cash flow from investing activities</w:t>
            </w:r>
          </w:p>
        </w:tc>
      </w:tr>
      <w:tr>
        <w:tc>
          <w:tcPr>
            <w:tcW w:type="dxa" w:w="3552"/>
            <w:vAlign w:val="center"/>
          </w:tcPr>
          <w:p>
            <w:r>
              <w:t>Acquisition of plant and equipment and other assets to maintain operations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(472,034)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(51,268)</w:t>
            </w:r>
          </w:p>
        </w:tc>
      </w:tr>
      <w:tr>
        <w:tc>
          <w:tcPr>
            <w:tcW w:type="dxa" w:w="3552"/>
            <w:vAlign w:val="center"/>
          </w:tcPr>
          <w:p>
            <w:r>
              <w:t>Net cash outflows from investing activities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(472,034)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(51,268)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Cash flow from financing activities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Repayment of shareholders loan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(6,329,800)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-</w:t>
            </w:r>
          </w:p>
        </w:tc>
      </w:tr>
      <w:tr>
        <w:tc>
          <w:tcPr>
            <w:tcW w:type="dxa" w:w="3552"/>
            <w:vAlign w:val="center"/>
          </w:tcPr>
          <w:p>
            <w:r>
              <w:t>Payment of Lease Rent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(2,565,655)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(4,375,749)</w:t>
            </w:r>
          </w:p>
        </w:tc>
      </w:tr>
      <w:tr>
        <w:tc>
          <w:tcPr>
            <w:tcW w:type="dxa" w:w="3552"/>
            <w:vAlign w:val="center"/>
          </w:tcPr>
          <w:p>
            <w:r>
              <w:t>Net cash outflow from financing activities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(8,895,455)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(4,375,749)</w:t>
            </w:r>
          </w:p>
        </w:tc>
      </w:tr>
      <w:tr>
        <w:tc>
          <w:tcPr>
            <w:tcW w:type="dxa" w:w="10656"/>
            <w:gridSpan w:val="3"/>
            <w:shd w:fill="EEEEEE"/>
          </w:tcPr>
          <w:p>
            <w:r>
              <w:rPr>
                <w:b/>
              </w:rPr>
              <w:t>Cash and cash equivalents</w:t>
            </w:r>
          </w:p>
        </w:tc>
      </w:tr>
      <w:tr>
        <w:tc>
          <w:tcPr>
            <w:tcW w:type="dxa" w:w="3552"/>
            <w:vAlign w:val="center"/>
          </w:tcPr>
          <w:p>
            <w:r>
              <w:t>Net increase/(decrease) in cash and cash equivalents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5,779,618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5,935,698</w:t>
            </w:r>
          </w:p>
        </w:tc>
      </w:tr>
      <w:tr>
        <w:tc>
          <w:tcPr>
            <w:tcW w:type="dxa" w:w="3552"/>
            <w:vAlign w:val="center"/>
          </w:tcPr>
          <w:p>
            <w:r>
              <w:t>Cash and cash equivalents at beginning of year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2,894,553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(3,041,145)</w:t>
            </w:r>
          </w:p>
        </w:tc>
      </w:tr>
      <w:tr>
        <w:tc>
          <w:tcPr>
            <w:tcW w:type="dxa" w:w="3552"/>
            <w:vAlign w:val="center"/>
          </w:tcPr>
          <w:p>
            <w:r>
              <w:t>Cash and cash equivalents at end of the year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8,674,171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</w:pPr>
            <w:r>
              <w:t>2,894,553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