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 1</w:t>
      </w:r>
    </w:p>
    <w:p>
      <w:r>
        <w:t>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 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 of monsoon drains, the arithmetic of debt. It was not that her people doubted the value of education; it was that the education she was receiving had begun to 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them from the ground up in the village idiom. That rebuilding, when it succeeded, felt like genuine understanding; when it failed, it felt like her schooling had borrowed her voice and raised the interest rate.</w:t>
      </w:r>
    </w:p>
    <w:p>
      <w:r>
        <w:t>The phrase “invisible taxation of attention” most nearly implies that Amrita’s cognitive load was increased by translation in a way that</w:t>
        <w:br/>
        <w:t>(A) improved her retention but reduced curiosity</w:t>
        <w:br/>
        <w:t>(B) depleted mental resources without obvious acknowledgment</w:t>
        <w:br/>
        <w:t>(C) made lectures slower yet ultimately clearer</w:t>
        <w:br/>
        <w:t>(D) enhanced her bilingual fluency without side effects</w:t>
      </w:r>
    </w:p>
    <w:p/>
    <w:p>
      <w:pPr>
        <w:ind w:left="360"/>
      </w:pPr>
      <w:r>
        <w:t>2. Read the following passage carefully and answer Question No. 4:</w:t>
      </w:r>
    </w:p>
    <w:p>
      <w: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r>
        <w:t>The phrase “epistemic economy” primarily emphasizes the way the program</w:t>
        <w:br/>
        <w:t>(A) rewarded linguistic capital over demonstrable skill</w:t>
        <w:br/>
        <w:t>(B) eliminated bias through standardized testing</w:t>
        <w:br/>
        <w:t>(C) prioritized hands-on fabrication over documentation</w:t>
        <w:br/>
        <w:t>(D) distributed lab tasks purely by random rotation</w:t>
      </w:r>
    </w:p>
    <w:p/>
    <w:p>
      <w:pPr>
        <w:ind w:left="360"/>
      </w:pPr>
      <w:r>
        <w:t>3. Read the following passage carefully and answer Question No. 7:</w:t>
      </w:r>
    </w:p>
    <w:p>
      <w: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r>
        <w:t>The metaphor of “toll roads” suggests that the policy’s implementation</w:t>
        <w:br/>
        <w:t>(A) eased transitions without cost</w:t>
        <w:br/>
        <w:t>(B) imposed prerequisites that hindered learning</w:t>
        <w:br/>
        <w:t>(C) replaced exams with practical projects</w:t>
        <w:br/>
        <w:t>(D) eliminated the need for glossaries</w:t>
      </w:r>
    </w:p>
    <w:p/>
    <w:p>
      <w:pPr>
        <w:ind w:left="360"/>
      </w:pPr>
      <w:r>
        <w:t>4. Read the following passage carefully and answer Question No. 10:</w:t>
      </w:r>
    </w:p>
    <w:p>
      <w:r>
        <w:t>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p>
    <w:p>
      <w:r>
        <w:t>The comparison of language to a “pump” indicates that the author views language as</w:t>
        <w:br/>
        <w:t>(A) a neutral container with no effect on learning</w:t>
        <w:br/>
        <w:t>(B) a mechanism that actively modulates comprehension</w:t>
        <w:br/>
        <w:t>(C) a barrier that cannot be overcome</w:t>
        <w:br/>
        <w:t>(D) a mere aesthetic layer over content</w:t>
      </w:r>
    </w:p>
    <w:p/>
    <w:p>
      <w:pPr>
        <w:ind w:left="360"/>
      </w:pPr>
      <w:r>
        <w:t>5. Read the following passage carefully and answer Question No. 13:</w:t>
      </w:r>
    </w:p>
    <w:p>
      <w: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r>
        <w:t>The report’s “abdications” most likely refer to</w:t>
        <w:br/>
        <w:t>(A) resignations of committee members</w:t>
        <w:br/>
        <w:t>(B) avoidance of responsibility in critical recommendations</w:t>
        <w:br/>
        <w:t>(C) rejection of mother-tongue instruction at any level</w:t>
        <w:br/>
        <w:t>(D) dismissal of global competitiveness as a goal</w:t>
      </w:r>
    </w:p>
    <w:p/>
    <w:p>
      <w:pPr>
        <w:ind w:left="360"/>
      </w:pPr>
      <w:r>
        <w:t>6. Read the following passage carefully and answer Question No.  16:</w:t>
      </w:r>
    </w:p>
    <w:p>
      <w:r>
        <w:t>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r>
    </w:p>
    <w:p>
      <w:r>
        <w:t>The mentor’s experiment primarily targeted a reduction in</w:t>
        <w:br/>
        <w:t>(A) intrinsic load by removing all concepts</w:t>
        <w:br/>
        <w:t>(B) extraneous load by sequencing language and labels</w:t>
        <w:br/>
        <w:t>(C) germane load by limiting practice</w:t>
        <w:br/>
        <w:t>(D) total study time irrespective of comprehension</w:t>
      </w:r>
    </w:p>
    <w:p/>
    <w:p>
      <w:pPr>
        <w:ind w:left="360"/>
      </w:pPr>
      <w:r>
        <w:t>7. Read the following passage carefully and answer Question No. 19:</w:t>
      </w:r>
    </w:p>
    <w:p>
      <w: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r>
        <w:t>The statement “images were languages without politics” is treated by the passage as</w:t>
        <w:br/>
        <w:t>(A) a truthful depiction of visual neutrality</w:t>
        <w:br/>
        <w:t>(B) a naïve assumption undermined by assessment practices</w:t>
        <w:br/>
        <w:t>(C) a principle consistently upheld in vivas</w:t>
        <w:br/>
        <w:t>(D) a strategy that eliminates pronunciation issues</w:t>
      </w:r>
    </w:p>
    <w:p/>
    <w:p>
      <w:pPr>
        <w:ind w:left="360"/>
      </w:pPr>
      <w:r>
        <w:t>8. Read the following passage carefully and answer Question No.  22:</w:t>
      </w:r>
    </w:p>
    <w:p>
      <w:r>
        <w:t>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r>
        <w:t>Mira’s central finding was that engagement increased when</w:t>
        <w:br/>
        <w:t>(A) technical terms preceded conceptual framing</w:t>
        <w:br/>
        <w:t>(B) concepts were established in the local language first</w:t>
        <w:br/>
        <w:t>(C) corridor displays were multilingual</w:t>
        <w:br/>
        <w:t>(D) textbooks replaced peer explanations</w:t>
      </w:r>
    </w:p>
    <w:p/>
    <w:p>
      <w:pPr>
        <w:ind w:left="360"/>
      </w:pPr>
      <w:r>
        <w:t>9. Read the following passage carefully and answer Question No.  25:</w:t>
      </w:r>
    </w:p>
    <w:p>
      <w:r>
        <w:t>In a rural polytechnic, the new cohort received a bilingual manual for agricultural machinery. The left column bore the international terms; the right offered meticulous equivalents forged by a consortium of teachers and farmers. During field trials, students trained with the right column first, assembling implements under supervision, naming each part in the language of the soil. Only after operational fluency did instructors require the left-column nomenclature. Over the season, breakdowns decreased and maintenance logs grew more precise. Yet when a visiting evaluator audited the program, she questioned the “professionalism” of the logs, pointing to the scarcity of international acronyms. The faculty responded by appending a glossary crosswalk; the machines ran as before, but now the logs wore two names for the same gears—one that kept them turning, and one that kept appearances intact.</w:t>
      </w:r>
    </w:p>
    <w:p>
      <w:r>
        <w:t>The evidence that the bilingual approach improved practice includes</w:t>
        <w:br/>
        <w:t>(A) increased breakdowns but better acronyms</w:t>
        <w:br/>
        <w:t>(B) decreased breakdowns and more precise logs</w:t>
        <w:br/>
        <w:t>(C) unchanged maintenance outcomes</w:t>
        <w:br/>
        <w:t>(D) faster adoption of international terms</w:t>
      </w:r>
    </w:p>
    <w:p/>
    <w:p>
      <w:pPr>
        <w:ind w:left="360"/>
      </w:pPr>
      <w:r>
        <w:t>10. Read the following passage carefully and answer Question No. 28:</w:t>
      </w:r>
    </w:p>
    <w:p>
      <w:r>
        <w:t>Rajiv noticed that his friendships shifted as his speech did. In the hostel he learned to flatten vowels and sharpen consonants until they matched the cadences of the city; with that came invitations to study groups and internships he had previously only heard about. He was not deceived into thinking that pronunciation alone conferred competence, but he also could not deny that a new pronunciation unlocked old locks. He wondered whether he had gained access or merely changed the shape of the key. When he called home, his mother asked, gently, why he sounded like a stranger. Later, during a mock interview, he caught himself trimming a story about his village to fit a metropolitan appetite and felt a small betrayal stir. He began to keep two registers of speech and two ledgers of debt: one to opportunity, the other to origin. The question that remained, stubborn as a stone in a shoe, was whether the road ahead required that he walk with a limp.</w:t>
      </w:r>
    </w:p>
    <w:p>
      <w:r>
        <w:t>The metaphor of “unlocked old locks” suggests that Rajiv’s altered speech</w:t>
        <w:br/>
        <w:t>(A) exposed him to new biases against him</w:t>
        <w:br/>
        <w:t>(B) granted entry to existing networks</w:t>
        <w:br/>
        <w:t>(C) diminished his technical abilities</w:t>
        <w:br/>
        <w:t>(D) removed all barriers to success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