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FEFAD" w14:textId="77777777" w:rsidR="00FE6386" w:rsidRDefault="00FE6386" w:rsidP="005A455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When a politician addresses a rally, he is most likely to use language that is</w:t>
      </w:r>
      <w:r>
        <w:rPr>
          <w:lang w:val="en-IN"/>
        </w:rPr>
        <w:br/>
        <w:t>(A) highly technical and domain-specific</w:t>
      </w:r>
      <w:r>
        <w:rPr>
          <w:lang w:val="en-IN"/>
        </w:rPr>
        <w:br/>
        <w:t>(B) intimate and private in tone</w:t>
      </w:r>
      <w:r>
        <w:rPr>
          <w:lang w:val="en-IN"/>
        </w:rPr>
        <w:br/>
        <w:t>(C) persuasive and oriented towards the audience</w:t>
      </w:r>
      <w:r>
        <w:rPr>
          <w:lang w:val="en-IN"/>
        </w:rPr>
        <w:br/>
        <w:t>(D) identical to a conversation with family members</w:t>
      </w:r>
    </w:p>
    <w:p w14:paraId="6125A497" w14:textId="77777777" w:rsidR="00FE6386" w:rsidRDefault="00FE6386" w:rsidP="005A455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Code-switching occurs when a speaker</w:t>
      </w:r>
      <w:r>
        <w:rPr>
          <w:lang w:val="en-IN"/>
        </w:rPr>
        <w:br/>
        <w:t>(A) refuses to adapt to listeners’ comprehension levels</w:t>
      </w:r>
      <w:r>
        <w:rPr>
          <w:lang w:val="en-IN"/>
        </w:rPr>
        <w:br/>
        <w:t>(B) alternates between two or more languages or language varieties in conversation</w:t>
      </w:r>
      <w:r>
        <w:rPr>
          <w:lang w:val="en-IN"/>
        </w:rPr>
        <w:br/>
        <w:t>(C) translates every sentence into another language while speaking</w:t>
      </w:r>
      <w:r>
        <w:rPr>
          <w:lang w:val="en-IN"/>
        </w:rPr>
        <w:br/>
        <w:t>(D) chooses to remain silent in formal environments</w:t>
      </w:r>
    </w:p>
    <w:p w14:paraId="7071EB03" w14:textId="77777777" w:rsidR="00FE6386" w:rsidRDefault="00FE6386" w:rsidP="005A455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A university professor lecturing in class generally adopts a register that is</w:t>
      </w:r>
      <w:r>
        <w:rPr>
          <w:lang w:val="en-IN"/>
        </w:rPr>
        <w:br/>
        <w:t>(A) casual and filled with colloquial expressions</w:t>
      </w:r>
      <w:r>
        <w:rPr>
          <w:lang w:val="en-IN"/>
        </w:rPr>
        <w:br/>
        <w:t>(B) academic, structured, and context-sensitive</w:t>
      </w:r>
      <w:r>
        <w:rPr>
          <w:lang w:val="en-IN"/>
        </w:rPr>
        <w:br/>
        <w:t>(C) dismissive of students’ level of understanding</w:t>
      </w:r>
      <w:r>
        <w:rPr>
          <w:lang w:val="en-IN"/>
        </w:rPr>
        <w:br/>
        <w:t>(D) identical to how one speaks with close friends</w:t>
      </w:r>
    </w:p>
    <w:p w14:paraId="2D526772" w14:textId="77777777" w:rsidR="00FE6386" w:rsidRDefault="00FE6386" w:rsidP="005A455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The term “speech community” refers to</w:t>
      </w:r>
      <w:r>
        <w:rPr>
          <w:lang w:val="en-IN"/>
        </w:rPr>
        <w:br/>
        <w:t>(A) any group of individuals who share the same physical location</w:t>
      </w:r>
      <w:r>
        <w:rPr>
          <w:lang w:val="en-IN"/>
        </w:rPr>
        <w:br/>
        <w:t>(B) a collection of people brought together only by political boundaries</w:t>
      </w:r>
      <w:r>
        <w:rPr>
          <w:lang w:val="en-IN"/>
        </w:rPr>
        <w:br/>
        <w:t>(C) a group of individuals who share common linguistic norms and conventions</w:t>
      </w:r>
      <w:r>
        <w:rPr>
          <w:lang w:val="en-IN"/>
        </w:rPr>
        <w:br/>
        <w:t>(D) people who never vary their style of speaking</w:t>
      </w:r>
    </w:p>
    <w:p w14:paraId="0682C7A1" w14:textId="77777777" w:rsidR="00FE6386" w:rsidRDefault="00FE6386" w:rsidP="005A455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In sociolinguistics, “diglossia” refers to</w:t>
      </w:r>
      <w:r>
        <w:rPr>
          <w:lang w:val="en-IN"/>
        </w:rPr>
        <w:br/>
        <w:t>(A) the loss of language under external cultural pressure</w:t>
      </w:r>
      <w:r>
        <w:rPr>
          <w:lang w:val="en-IN"/>
        </w:rPr>
        <w:br/>
        <w:t>(B) stress on pronunciation due to bilingualism</w:t>
      </w:r>
      <w:r>
        <w:rPr>
          <w:lang w:val="en-IN"/>
        </w:rPr>
        <w:br/>
        <w:t>(C) the systematic use of two varieties of a language in different social contexts</w:t>
      </w:r>
      <w:r>
        <w:rPr>
          <w:lang w:val="en-IN"/>
        </w:rPr>
        <w:br/>
        <w:t>(D) the inability to switch between formal and informal speech</w:t>
      </w:r>
    </w:p>
    <w:p w14:paraId="5C91C49A" w14:textId="77777777" w:rsidR="00FE6386" w:rsidRDefault="00FE6386" w:rsidP="005A455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A newsreader will typically avoid</w:t>
      </w:r>
      <w:r>
        <w:rPr>
          <w:lang w:val="en-IN"/>
        </w:rPr>
        <w:br/>
        <w:t>(A) clarity and standard pronunciation</w:t>
      </w:r>
      <w:r>
        <w:rPr>
          <w:lang w:val="en-IN"/>
        </w:rPr>
        <w:br/>
        <w:t>(B) using fillers, slangs, or colloquialisms</w:t>
      </w:r>
      <w:r>
        <w:rPr>
          <w:lang w:val="en-IN"/>
        </w:rPr>
        <w:br/>
        <w:t>(C) well-organized and formal delivery of speech</w:t>
      </w:r>
      <w:r>
        <w:rPr>
          <w:lang w:val="en-IN"/>
        </w:rPr>
        <w:br/>
        <w:t>(D) consideration of audience comprehension</w:t>
      </w:r>
    </w:p>
    <w:p w14:paraId="5FFF0010" w14:textId="77777777" w:rsidR="00FE6386" w:rsidRDefault="00FE6386" w:rsidP="005A455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In a courtroom, a lawyer’s mode of address is shaped primarily by</w:t>
      </w:r>
      <w:r>
        <w:rPr>
          <w:lang w:val="en-IN"/>
        </w:rPr>
        <w:br/>
        <w:t>(A) the legal norms and expected formality of proceedings</w:t>
      </w:r>
      <w:r>
        <w:rPr>
          <w:lang w:val="en-IN"/>
        </w:rPr>
        <w:br/>
        <w:t>(B) personal emotional expression without restriction</w:t>
      </w:r>
      <w:r>
        <w:rPr>
          <w:lang w:val="en-IN"/>
        </w:rPr>
        <w:br/>
        <w:t>(C) deliberate avoidance of persuasive techniques</w:t>
      </w:r>
      <w:r>
        <w:rPr>
          <w:lang w:val="en-IN"/>
        </w:rPr>
        <w:br/>
        <w:t>(D) speaking as though addressing childhood friends</w:t>
      </w:r>
    </w:p>
    <w:p w14:paraId="660A4636" w14:textId="77777777" w:rsidR="00FE6386" w:rsidRDefault="00FE6386" w:rsidP="005A455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The shift in style from casual messaging on social media to professional email writing is an example of</w:t>
      </w:r>
      <w:r>
        <w:rPr>
          <w:lang w:val="en-IN"/>
        </w:rPr>
        <w:br/>
        <w:t>(A) a breakdown of linguistic competence</w:t>
      </w:r>
      <w:r>
        <w:rPr>
          <w:lang w:val="en-IN"/>
        </w:rPr>
        <w:br/>
        <w:t>(B) the permanence of informal registers</w:t>
      </w:r>
      <w:r>
        <w:rPr>
          <w:lang w:val="en-IN"/>
        </w:rPr>
        <w:br/>
        <w:t>(C) register variation according to context</w:t>
      </w:r>
      <w:r>
        <w:rPr>
          <w:lang w:val="en-IN"/>
        </w:rPr>
        <w:br/>
        <w:t>(D) the inability to adapt to different audiences</w:t>
      </w:r>
    </w:p>
    <w:p w14:paraId="5A2CEF31" w14:textId="77777777" w:rsidR="00FE6386" w:rsidRDefault="00FE6386" w:rsidP="005A455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Sociolinguistic competence enables a speaker to</w:t>
      </w:r>
      <w:r>
        <w:rPr>
          <w:lang w:val="en-IN"/>
        </w:rPr>
        <w:br/>
        <w:t>(A) use language appropriately based on situation and audience</w:t>
      </w:r>
      <w:r>
        <w:rPr>
          <w:lang w:val="en-IN"/>
        </w:rPr>
        <w:br/>
        <w:t>(B) always speak only in grammatically perfect forms</w:t>
      </w:r>
      <w:r>
        <w:rPr>
          <w:lang w:val="en-IN"/>
        </w:rPr>
        <w:br/>
        <w:t>(C) avoid accommodating to social environments</w:t>
      </w:r>
      <w:r>
        <w:rPr>
          <w:lang w:val="en-IN"/>
        </w:rPr>
        <w:br/>
        <w:t>(D) communicate in identical ways everywhere</w:t>
      </w:r>
    </w:p>
    <w:p w14:paraId="1214470C" w14:textId="77777777" w:rsidR="00FE6386" w:rsidRDefault="00FE6386" w:rsidP="00EC7D8A"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A child imitating the teacher’s speech in class but using informal language at home demonstrates</w:t>
      </w:r>
      <w:r>
        <w:rPr>
          <w:lang w:val="en-IN"/>
        </w:rPr>
        <w:br/>
        <w:t>(A) linguistic confusion</w:t>
      </w:r>
      <w:r>
        <w:rPr>
          <w:lang w:val="en-IN"/>
        </w:rPr>
        <w:br/>
        <w:t>(B) the concept of domain-specific language use</w:t>
      </w:r>
      <w:r>
        <w:rPr>
          <w:lang w:val="en-IN"/>
        </w:rPr>
        <w:br/>
        <w:t>(C) inability to differentiate registers</w:t>
      </w:r>
      <w:r>
        <w:rPr>
          <w:lang w:val="en-IN"/>
        </w:rPr>
        <w:br/>
        <w:t>(D) absence of sociolinguistic awareness</w:t>
      </w:r>
    </w:p>
    <w:p w14:paraId="18381E3C" w14:textId="1D5647FC" w:rsidR="009F2CF2" w:rsidRPr="00EC7D8A" w:rsidRDefault="009F2CF2" w:rsidP="00EC7D8A"/>
    <w:sectPr w:rsidR="009F2CF2" w:rsidRPr="00EC7D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314"/>
    <w:rsid w:val="0015074B"/>
    <w:rsid w:val="001601C3"/>
    <w:rsid w:val="0029639D"/>
    <w:rsid w:val="00326F90"/>
    <w:rsid w:val="005A4559"/>
    <w:rsid w:val="009F2CF2"/>
    <w:rsid w:val="00AA1D8D"/>
    <w:rsid w:val="00B0488F"/>
    <w:rsid w:val="00B47730"/>
    <w:rsid w:val="00CB0664"/>
    <w:rsid w:val="00EC7D8A"/>
    <w:rsid w:val="00FC693F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2025-09-18T19:14:00Z</dcterms:created>
  <dcterms:modified xsi:type="dcterms:W3CDTF">2025-09-18T19:14:00Z</dcterms:modified>
  <cp:category/>
</cp:coreProperties>
</file>