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C1A1" w14:textId="77777777" w:rsidR="009F66A4" w:rsidRPr="009F66A4" w:rsidRDefault="009F66A4" w:rsidP="009F66A4">
      <w:pPr>
        <w:numPr>
          <w:ilvl w:val="0"/>
          <w:numId w:val="63"/>
        </w:numPr>
      </w:pPr>
      <w:r w:rsidRPr="009F66A4">
        <w:t>Arrange the following global pandemics in ascending order (year wise):</w:t>
      </w:r>
      <w:r w:rsidRPr="009F66A4">
        <w:br/>
        <w:t>(</w:t>
      </w:r>
      <w:proofErr w:type="spellStart"/>
      <w:r w:rsidRPr="009F66A4">
        <w:t>i</w:t>
      </w:r>
      <w:proofErr w:type="spellEnd"/>
      <w:r w:rsidRPr="009F66A4">
        <w:t>) HIV/AIDS pandemic</w:t>
      </w:r>
      <w:r w:rsidRPr="009F66A4">
        <w:br/>
        <w:t>(ii) H1N1 Influenza pandemic</w:t>
      </w:r>
      <w:r w:rsidRPr="009F66A4">
        <w:br/>
        <w:t>(iii) SARS outbreak</w:t>
      </w:r>
      <w:r w:rsidRPr="009F66A4">
        <w:br/>
        <w:t>(iv) COVID-19 pandemic</w:t>
      </w:r>
      <w:r w:rsidRPr="009F66A4">
        <w:br/>
        <w:t>Select the correct answer using the codes given below:</w:t>
      </w:r>
      <w:r w:rsidRPr="009F66A4">
        <w:br/>
        <w:t>(A) (</w:t>
      </w:r>
      <w:proofErr w:type="spellStart"/>
      <w:r w:rsidRPr="009F66A4">
        <w:t>i</w:t>
      </w:r>
      <w:proofErr w:type="spellEnd"/>
      <w:r w:rsidRPr="009F66A4">
        <w:t>)-(iii)-(ii)-(iv)</w:t>
      </w:r>
      <w:r w:rsidRPr="009F66A4">
        <w:br/>
        <w:t>(B) (iii)-(</w:t>
      </w:r>
      <w:proofErr w:type="spellStart"/>
      <w:r w:rsidRPr="009F66A4">
        <w:t>i</w:t>
      </w:r>
      <w:proofErr w:type="spellEnd"/>
      <w:r w:rsidRPr="009F66A4">
        <w:t>)-(ii)-(iv)</w:t>
      </w:r>
      <w:r w:rsidRPr="009F66A4">
        <w:br/>
        <w:t>(C) (</w:t>
      </w:r>
      <w:proofErr w:type="spellStart"/>
      <w:r w:rsidRPr="009F66A4">
        <w:t>i</w:t>
      </w:r>
      <w:proofErr w:type="spellEnd"/>
      <w:r w:rsidRPr="009F66A4">
        <w:t>)-(ii)-(iii)-(iv)</w:t>
      </w:r>
      <w:r w:rsidRPr="009F66A4">
        <w:br/>
        <w:t>(D) (ii)-(</w:t>
      </w:r>
      <w:proofErr w:type="spellStart"/>
      <w:r w:rsidRPr="009F66A4">
        <w:t>i</w:t>
      </w:r>
      <w:proofErr w:type="spellEnd"/>
      <w:r w:rsidRPr="009F66A4">
        <w:t>)-(iii)-(iv)</w:t>
      </w:r>
    </w:p>
    <w:p w14:paraId="1AE24988" w14:textId="77777777" w:rsidR="009F66A4" w:rsidRPr="009F66A4" w:rsidRDefault="009F66A4" w:rsidP="009F66A4">
      <w:r w:rsidRPr="009F66A4">
        <w:t>Answer 71. (A) (</w:t>
      </w:r>
      <w:proofErr w:type="spellStart"/>
      <w:r w:rsidRPr="009F66A4">
        <w:t>i</w:t>
      </w:r>
      <w:proofErr w:type="spellEnd"/>
      <w:r w:rsidRPr="009F66A4">
        <w:t>)-(iii)-(ii)-(iv)</w:t>
      </w:r>
    </w:p>
    <w:p w14:paraId="762BAC9C" w14:textId="77777777" w:rsidR="009F66A4" w:rsidRPr="009F66A4" w:rsidRDefault="009F66A4" w:rsidP="009F66A4">
      <w:r w:rsidRPr="009F66A4">
        <w:t>Explanation:</w:t>
      </w:r>
    </w:p>
    <w:p w14:paraId="0489E472" w14:textId="77777777" w:rsidR="009F66A4" w:rsidRPr="009F66A4" w:rsidRDefault="009F66A4" w:rsidP="009F66A4">
      <w:pPr>
        <w:numPr>
          <w:ilvl w:val="0"/>
          <w:numId w:val="64"/>
        </w:numPr>
      </w:pPr>
      <w:r w:rsidRPr="009F66A4">
        <w:t>HIV/AIDS emerged as a global pandemic in the early 1980s, making it the earliest among the listed events.</w:t>
      </w:r>
    </w:p>
    <w:p w14:paraId="390DA1FC" w14:textId="77777777" w:rsidR="009F66A4" w:rsidRPr="009F66A4" w:rsidRDefault="009F66A4" w:rsidP="009F66A4">
      <w:pPr>
        <w:numPr>
          <w:ilvl w:val="0"/>
          <w:numId w:val="64"/>
        </w:numPr>
      </w:pPr>
      <w:r w:rsidRPr="009F66A4">
        <w:t>The SARS outbreak occurred in 2002–03, following HIV/AIDS in time.</w:t>
      </w:r>
    </w:p>
    <w:p w14:paraId="5B0C1FB4" w14:textId="77777777" w:rsidR="009F66A4" w:rsidRPr="009F66A4" w:rsidRDefault="009F66A4" w:rsidP="009F66A4">
      <w:pPr>
        <w:numPr>
          <w:ilvl w:val="0"/>
          <w:numId w:val="64"/>
        </w:numPr>
      </w:pPr>
      <w:r w:rsidRPr="009F66A4">
        <w:t>The H1N1 influenza (swine flu) pandemic took place in 2009, after SARS.</w:t>
      </w:r>
    </w:p>
    <w:p w14:paraId="7B293074" w14:textId="77777777" w:rsidR="009F66A4" w:rsidRPr="009F66A4" w:rsidRDefault="009F66A4" w:rsidP="009F66A4">
      <w:pPr>
        <w:numPr>
          <w:ilvl w:val="0"/>
          <w:numId w:val="64"/>
        </w:numPr>
      </w:pPr>
      <w:r w:rsidRPr="009F66A4">
        <w:t>COVID-19 began in late 2019, making it the most recent in the sequence.</w:t>
      </w:r>
    </w:p>
    <w:p w14:paraId="7634B9D7" w14:textId="77777777" w:rsidR="009F66A4" w:rsidRPr="009F66A4" w:rsidRDefault="009F66A4" w:rsidP="009F66A4">
      <w:pPr>
        <w:numPr>
          <w:ilvl w:val="0"/>
          <w:numId w:val="65"/>
        </w:numPr>
      </w:pPr>
      <w:r w:rsidRPr="009F66A4">
        <w:t>Arrange the following Biosphere Reserves of Northeast India as per their year of recognition by UNESCO:</w:t>
      </w:r>
      <w:r w:rsidRPr="009F66A4">
        <w:br/>
        <w:t>(</w:t>
      </w:r>
      <w:proofErr w:type="spellStart"/>
      <w:r w:rsidRPr="009F66A4">
        <w:t>i</w:t>
      </w:r>
      <w:proofErr w:type="spellEnd"/>
      <w:r w:rsidRPr="009F66A4">
        <w:t xml:space="preserve">) </w:t>
      </w:r>
      <w:proofErr w:type="spellStart"/>
      <w:r w:rsidRPr="009F66A4">
        <w:t>Nokrek</w:t>
      </w:r>
      <w:proofErr w:type="spellEnd"/>
      <w:r w:rsidRPr="009F66A4">
        <w:t xml:space="preserve"> (Meghalaya)</w:t>
      </w:r>
      <w:r w:rsidRPr="009F66A4">
        <w:br/>
        <w:t xml:space="preserve">(ii) </w:t>
      </w:r>
      <w:proofErr w:type="spellStart"/>
      <w:r w:rsidRPr="009F66A4">
        <w:t>Dihang-Dibang</w:t>
      </w:r>
      <w:proofErr w:type="spellEnd"/>
      <w:r w:rsidRPr="009F66A4">
        <w:t xml:space="preserve"> (Arunachal Pradesh)</w:t>
      </w:r>
      <w:r w:rsidRPr="009F66A4">
        <w:br/>
        <w:t>(iii) Manas (Assam)</w:t>
      </w:r>
      <w:r w:rsidRPr="009F66A4">
        <w:br/>
        <w:t xml:space="preserve">(iv) </w:t>
      </w:r>
      <w:proofErr w:type="spellStart"/>
      <w:r w:rsidRPr="009F66A4">
        <w:t>Dehang-Debang</w:t>
      </w:r>
      <w:proofErr w:type="spellEnd"/>
      <w:r w:rsidRPr="009F66A4">
        <w:t xml:space="preserve"> Valley → correction is </w:t>
      </w:r>
      <w:proofErr w:type="spellStart"/>
      <w:r w:rsidRPr="009F66A4">
        <w:t>Dihang-Dibang</w:t>
      </w:r>
      <w:proofErr w:type="spellEnd"/>
      <w:r w:rsidRPr="009F66A4">
        <w:t xml:space="preserve"> (</w:t>
      </w:r>
      <w:proofErr w:type="spellStart"/>
      <w:r w:rsidRPr="009F66A4">
        <w:t>ArP</w:t>
      </w:r>
      <w:proofErr w:type="spellEnd"/>
      <w:r w:rsidRPr="009F66A4">
        <w:t>)</w:t>
      </w:r>
      <w:r w:rsidRPr="009F66A4">
        <w:br/>
        <w:t>(A) (</w:t>
      </w:r>
      <w:proofErr w:type="spellStart"/>
      <w:r w:rsidRPr="009F66A4">
        <w:t>i</w:t>
      </w:r>
      <w:proofErr w:type="spellEnd"/>
      <w:r w:rsidRPr="009F66A4">
        <w:t>)–(iii)–(ii)</w:t>
      </w:r>
      <w:r w:rsidRPr="009F66A4">
        <w:br/>
        <w:t>(B) (iii)–(</w:t>
      </w:r>
      <w:proofErr w:type="spellStart"/>
      <w:r w:rsidRPr="009F66A4">
        <w:t>i</w:t>
      </w:r>
      <w:proofErr w:type="spellEnd"/>
      <w:r w:rsidRPr="009F66A4">
        <w:t>)–(ii)</w:t>
      </w:r>
      <w:r w:rsidRPr="009F66A4">
        <w:br/>
        <w:t>(C) (</w:t>
      </w:r>
      <w:proofErr w:type="spellStart"/>
      <w:r w:rsidRPr="009F66A4">
        <w:t>i</w:t>
      </w:r>
      <w:proofErr w:type="spellEnd"/>
      <w:r w:rsidRPr="009F66A4">
        <w:t>)–(ii)–(iii)</w:t>
      </w:r>
      <w:r w:rsidRPr="009F66A4">
        <w:br/>
        <w:t>(D) (ii)–(</w:t>
      </w:r>
      <w:proofErr w:type="spellStart"/>
      <w:r w:rsidRPr="009F66A4">
        <w:t>i</w:t>
      </w:r>
      <w:proofErr w:type="spellEnd"/>
      <w:r w:rsidRPr="009F66A4">
        <w:t>)–(iii)</w:t>
      </w:r>
    </w:p>
    <w:p w14:paraId="5FCA55EE" w14:textId="77777777" w:rsidR="009F66A4" w:rsidRPr="009F66A4" w:rsidRDefault="009F66A4" w:rsidP="009F66A4">
      <w:r w:rsidRPr="009F66A4">
        <w:t>Answer 72. (B) (iii)–(</w:t>
      </w:r>
      <w:proofErr w:type="spellStart"/>
      <w:r w:rsidRPr="009F66A4">
        <w:t>i</w:t>
      </w:r>
      <w:proofErr w:type="spellEnd"/>
      <w:r w:rsidRPr="009F66A4">
        <w:t>)–(ii)</w:t>
      </w:r>
    </w:p>
    <w:p w14:paraId="704F69CB" w14:textId="77777777" w:rsidR="009F66A4" w:rsidRPr="009F66A4" w:rsidRDefault="009F66A4" w:rsidP="009F66A4">
      <w:r w:rsidRPr="009F66A4">
        <w:t>Explanation:</w:t>
      </w:r>
    </w:p>
    <w:p w14:paraId="319A84E3" w14:textId="77777777" w:rsidR="009F66A4" w:rsidRPr="009F66A4" w:rsidRDefault="009F66A4" w:rsidP="009F66A4">
      <w:pPr>
        <w:numPr>
          <w:ilvl w:val="0"/>
          <w:numId w:val="66"/>
        </w:numPr>
      </w:pPr>
      <w:r w:rsidRPr="009F66A4">
        <w:t>Manas entered UNESCO’s World Network of Biosphere Reserves in 1989, making it the earliest among the three listed.</w:t>
      </w:r>
    </w:p>
    <w:p w14:paraId="0FE8C0EC" w14:textId="77777777" w:rsidR="009F66A4" w:rsidRPr="009F66A4" w:rsidRDefault="009F66A4" w:rsidP="009F66A4">
      <w:pPr>
        <w:numPr>
          <w:ilvl w:val="0"/>
          <w:numId w:val="66"/>
        </w:numPr>
      </w:pPr>
      <w:proofErr w:type="spellStart"/>
      <w:r w:rsidRPr="009F66A4">
        <w:t>Nokrek</w:t>
      </w:r>
      <w:proofErr w:type="spellEnd"/>
      <w:r w:rsidRPr="009F66A4">
        <w:t xml:space="preserve"> was recognized in 2009 under the Man and the Biosphere Programme.</w:t>
      </w:r>
    </w:p>
    <w:p w14:paraId="6F3DEA02" w14:textId="77777777" w:rsidR="009F66A4" w:rsidRPr="009F66A4" w:rsidRDefault="009F66A4" w:rsidP="009F66A4">
      <w:pPr>
        <w:numPr>
          <w:ilvl w:val="0"/>
          <w:numId w:val="66"/>
        </w:numPr>
      </w:pPr>
      <w:proofErr w:type="spellStart"/>
      <w:r w:rsidRPr="009F66A4">
        <w:t>Dihang-Dibang</w:t>
      </w:r>
      <w:proofErr w:type="spellEnd"/>
      <w:r w:rsidRPr="009F66A4">
        <w:t xml:space="preserve"> was recognized later, in 2018, placing it after Manas and </w:t>
      </w:r>
      <w:proofErr w:type="spellStart"/>
      <w:r w:rsidRPr="009F66A4">
        <w:t>Nokrek</w:t>
      </w:r>
      <w:proofErr w:type="spellEnd"/>
      <w:r w:rsidRPr="009F66A4">
        <w:t xml:space="preserve"> in sequence.</w:t>
      </w:r>
    </w:p>
    <w:p w14:paraId="35474B7C" w14:textId="77777777" w:rsidR="009F66A4" w:rsidRPr="009F66A4" w:rsidRDefault="009F66A4" w:rsidP="009F66A4">
      <w:pPr>
        <w:numPr>
          <w:ilvl w:val="0"/>
          <w:numId w:val="67"/>
        </w:numPr>
      </w:pPr>
      <w:r w:rsidRPr="009F66A4">
        <w:t>Match List-I with List-II:</w:t>
      </w:r>
      <w:r w:rsidRPr="009F66A4">
        <w:br/>
        <w:t>List-I List-II</w:t>
      </w:r>
      <w:r w:rsidRPr="009F66A4">
        <w:br/>
        <w:t>a. Bioremediation 1. Use of organisms to detoxify pollutants</w:t>
      </w:r>
      <w:r w:rsidRPr="009F66A4">
        <w:br/>
        <w:t>b. Ozone depletion 2. Thinning of stratospheric ozone</w:t>
      </w:r>
      <w:r w:rsidRPr="009F66A4">
        <w:br/>
        <w:t>c. Biomagnification 3. Increase in concentration of toxin up food chain</w:t>
      </w:r>
      <w:r w:rsidRPr="009F66A4">
        <w:br/>
        <w:t>d. Cryosphere 4. Frozen water part of Earth</w:t>
      </w:r>
      <w:r w:rsidRPr="009F66A4">
        <w:br/>
        <w:t>Select the correct answer using the codes given below.</w:t>
      </w:r>
      <w:r w:rsidRPr="009F66A4">
        <w:br/>
        <w:t xml:space="preserve">(A) </w:t>
      </w:r>
      <w:proofErr w:type="spellStart"/>
      <w:r w:rsidRPr="009F66A4">
        <w:t>abcd</w:t>
      </w:r>
      <w:proofErr w:type="spellEnd"/>
      <w:r w:rsidRPr="009F66A4">
        <w:t xml:space="preserve"> 4321</w:t>
      </w:r>
      <w:r w:rsidRPr="009F66A4">
        <w:br/>
      </w:r>
      <w:r w:rsidRPr="009F66A4">
        <w:lastRenderedPageBreak/>
        <w:t xml:space="preserve">(B) </w:t>
      </w:r>
      <w:proofErr w:type="spellStart"/>
      <w:r w:rsidRPr="009F66A4">
        <w:t>abcd</w:t>
      </w:r>
      <w:proofErr w:type="spellEnd"/>
      <w:r w:rsidRPr="009F66A4">
        <w:t xml:space="preserve"> 1324</w:t>
      </w:r>
      <w:r w:rsidRPr="009F66A4">
        <w:br/>
        <w:t xml:space="preserve">(C) </w:t>
      </w:r>
      <w:proofErr w:type="spellStart"/>
      <w:r w:rsidRPr="009F66A4">
        <w:t>abcd</w:t>
      </w:r>
      <w:proofErr w:type="spellEnd"/>
      <w:r w:rsidRPr="009F66A4">
        <w:t xml:space="preserve"> 1234</w:t>
      </w:r>
      <w:r w:rsidRPr="009F66A4">
        <w:br/>
        <w:t xml:space="preserve">(D) </w:t>
      </w:r>
      <w:proofErr w:type="spellStart"/>
      <w:r w:rsidRPr="009F66A4">
        <w:t>abcd</w:t>
      </w:r>
      <w:proofErr w:type="spellEnd"/>
      <w:r w:rsidRPr="009F66A4">
        <w:t xml:space="preserve"> 2143</w:t>
      </w:r>
    </w:p>
    <w:p w14:paraId="0B279829" w14:textId="77777777" w:rsidR="009F66A4" w:rsidRPr="009F66A4" w:rsidRDefault="009F66A4" w:rsidP="009F66A4">
      <w:r w:rsidRPr="009F66A4">
        <w:t xml:space="preserve">Answer 73. (C) </w:t>
      </w:r>
      <w:proofErr w:type="spellStart"/>
      <w:r w:rsidRPr="009F66A4">
        <w:t>abcd</w:t>
      </w:r>
      <w:proofErr w:type="spellEnd"/>
      <w:r w:rsidRPr="009F66A4">
        <w:t xml:space="preserve"> 1234</w:t>
      </w:r>
    </w:p>
    <w:p w14:paraId="090514A5" w14:textId="77777777" w:rsidR="009F66A4" w:rsidRPr="009F66A4" w:rsidRDefault="009F66A4" w:rsidP="009F66A4">
      <w:r w:rsidRPr="009F66A4">
        <w:t>Explanation:</w:t>
      </w:r>
    </w:p>
    <w:p w14:paraId="22F5B6D0" w14:textId="77777777" w:rsidR="009F66A4" w:rsidRPr="009F66A4" w:rsidRDefault="009F66A4" w:rsidP="009F66A4">
      <w:pPr>
        <w:numPr>
          <w:ilvl w:val="0"/>
          <w:numId w:val="68"/>
        </w:numPr>
      </w:pPr>
      <w:r w:rsidRPr="009F66A4">
        <w:t>Bioremediation refers to using living organisms (microbes, plants) to degrade or detoxify pollutants.</w:t>
      </w:r>
    </w:p>
    <w:p w14:paraId="47731E3B" w14:textId="77777777" w:rsidR="009F66A4" w:rsidRPr="009F66A4" w:rsidRDefault="009F66A4" w:rsidP="009F66A4">
      <w:pPr>
        <w:numPr>
          <w:ilvl w:val="0"/>
          <w:numId w:val="68"/>
        </w:numPr>
      </w:pPr>
      <w:r w:rsidRPr="009F66A4">
        <w:t>Ozone depletion denotes the thinning of the stratospheric ozone layer due to ozone-depleting substances.</w:t>
      </w:r>
    </w:p>
    <w:p w14:paraId="265BA104" w14:textId="77777777" w:rsidR="009F66A4" w:rsidRPr="009F66A4" w:rsidRDefault="009F66A4" w:rsidP="009F66A4">
      <w:pPr>
        <w:numPr>
          <w:ilvl w:val="0"/>
          <w:numId w:val="68"/>
        </w:numPr>
      </w:pPr>
      <w:r w:rsidRPr="009F66A4">
        <w:t>Biomagnification describes increasing concentrations of persistent toxins at higher trophic levels.</w:t>
      </w:r>
    </w:p>
    <w:p w14:paraId="243CD94B" w14:textId="77777777" w:rsidR="009F66A4" w:rsidRPr="009F66A4" w:rsidRDefault="009F66A4" w:rsidP="009F66A4">
      <w:pPr>
        <w:numPr>
          <w:ilvl w:val="0"/>
          <w:numId w:val="68"/>
        </w:numPr>
      </w:pPr>
      <w:r w:rsidRPr="009F66A4">
        <w:t>The cryosphere comprises Earth’s frozen water components, including ice sheets, glaciers, sea ice, and permafrost.</w:t>
      </w:r>
    </w:p>
    <w:p w14:paraId="4D68C69F" w14:textId="77777777" w:rsidR="009F66A4" w:rsidRPr="009F66A4" w:rsidRDefault="009F66A4" w:rsidP="009F66A4">
      <w:pPr>
        <w:numPr>
          <w:ilvl w:val="0"/>
          <w:numId w:val="69"/>
        </w:numPr>
      </w:pPr>
      <w:r w:rsidRPr="009F66A4">
        <w:t>As per climate projections for Northeast India by IPCC &amp; NATCOM, Assam is expected to experience which of the following by the end of 21st century?</w:t>
      </w:r>
      <w:r w:rsidRPr="009F66A4">
        <w:br/>
        <w:t>(A) Temperature rise of 1°C and decrease in extreme rainfall events</w:t>
      </w:r>
      <w:r w:rsidRPr="009F66A4">
        <w:br/>
        <w:t>(B) Temperature rise of 2–2.5°C and increase in frequency of high-intensity rainfall events</w:t>
      </w:r>
      <w:r w:rsidRPr="009F66A4">
        <w:br/>
        <w:t>(C) Temperature stabilisation but 20% decline in annual rainfall</w:t>
      </w:r>
      <w:r w:rsidRPr="009F66A4">
        <w:br/>
        <w:t>(D) No significant warming due to monsoon regulation by Himalayas</w:t>
      </w:r>
    </w:p>
    <w:p w14:paraId="47989A54" w14:textId="77777777" w:rsidR="009F66A4" w:rsidRPr="009F66A4" w:rsidRDefault="009F66A4" w:rsidP="009F66A4">
      <w:r w:rsidRPr="009F66A4">
        <w:t>Answer 74. (B) Temperature rise of 2–2.5°C and increase in frequency of high-intensity rainfall events</w:t>
      </w:r>
    </w:p>
    <w:p w14:paraId="446556D1" w14:textId="77777777" w:rsidR="009F66A4" w:rsidRPr="009F66A4" w:rsidRDefault="009F66A4" w:rsidP="009F66A4">
      <w:r w:rsidRPr="009F66A4">
        <w:t>Explanation:</w:t>
      </w:r>
    </w:p>
    <w:p w14:paraId="7EC062A5" w14:textId="77777777" w:rsidR="009F66A4" w:rsidRPr="009F66A4" w:rsidRDefault="009F66A4" w:rsidP="009F66A4">
      <w:pPr>
        <w:numPr>
          <w:ilvl w:val="0"/>
          <w:numId w:val="70"/>
        </w:numPr>
      </w:pPr>
      <w:r w:rsidRPr="009F66A4">
        <w:t>Projections indicate overall warming across Northeast India with summer maximums and winter minimums rising by about 2°C or more in higher-emission scenarios by century’s end.</w:t>
      </w:r>
    </w:p>
    <w:p w14:paraId="35954229" w14:textId="77777777" w:rsidR="009F66A4" w:rsidRPr="009F66A4" w:rsidRDefault="009F66A4" w:rsidP="009F66A4">
      <w:pPr>
        <w:numPr>
          <w:ilvl w:val="0"/>
          <w:numId w:val="70"/>
        </w:numPr>
      </w:pPr>
      <w:r w:rsidRPr="009F66A4">
        <w:t>Studies highlight more frequent heavy rainfall events and increased rainy days, even where mean rainfall trends may be mixed, implying heightened flood risks.</w:t>
      </w:r>
    </w:p>
    <w:p w14:paraId="3A18003A" w14:textId="77777777" w:rsidR="009F66A4" w:rsidRPr="009F66A4" w:rsidRDefault="009F66A4" w:rsidP="009F66A4">
      <w:pPr>
        <w:numPr>
          <w:ilvl w:val="0"/>
          <w:numId w:val="70"/>
        </w:numPr>
      </w:pPr>
      <w:r w:rsidRPr="009F66A4">
        <w:t>Assertions of negligible warming or broad declines in extremes are inconsistent with ensemble projections for the region.</w:t>
      </w:r>
    </w:p>
    <w:p w14:paraId="45CD8909" w14:textId="77777777" w:rsidR="009F66A4" w:rsidRPr="009F66A4" w:rsidRDefault="009F66A4" w:rsidP="009F66A4">
      <w:pPr>
        <w:numPr>
          <w:ilvl w:val="0"/>
          <w:numId w:val="71"/>
        </w:numPr>
      </w:pPr>
      <w:r w:rsidRPr="009F66A4">
        <w:t>The application of microorganisms to degrade pesticides in contaminated agricultural fields describes</w:t>
      </w:r>
      <w:r w:rsidRPr="009F66A4">
        <w:br/>
        <w:t>(A) microbial bioremediation</w:t>
      </w:r>
      <w:r w:rsidRPr="009F66A4">
        <w:br/>
        <w:t xml:space="preserve">(B) </w:t>
      </w:r>
      <w:proofErr w:type="spellStart"/>
      <w:r w:rsidRPr="009F66A4">
        <w:t>mycoremediation</w:t>
      </w:r>
      <w:proofErr w:type="spellEnd"/>
      <w:r w:rsidRPr="009F66A4">
        <w:br/>
        <w:t xml:space="preserve">(C) </w:t>
      </w:r>
      <w:proofErr w:type="spellStart"/>
      <w:r w:rsidRPr="009F66A4">
        <w:t>phycoremediation</w:t>
      </w:r>
      <w:proofErr w:type="spellEnd"/>
      <w:r w:rsidRPr="009F66A4">
        <w:br/>
        <w:t>(D) phytoremediation</w:t>
      </w:r>
    </w:p>
    <w:p w14:paraId="790F018C" w14:textId="77777777" w:rsidR="009F66A4" w:rsidRPr="009F66A4" w:rsidRDefault="009F66A4" w:rsidP="009F66A4">
      <w:r w:rsidRPr="009F66A4">
        <w:t>Answer 75. (A) microbial bioremediation</w:t>
      </w:r>
    </w:p>
    <w:p w14:paraId="4FBB4B8C" w14:textId="77777777" w:rsidR="009F66A4" w:rsidRPr="009F66A4" w:rsidRDefault="009F66A4" w:rsidP="009F66A4">
      <w:r w:rsidRPr="009F66A4">
        <w:t>Explanation:</w:t>
      </w:r>
    </w:p>
    <w:p w14:paraId="5F4E2515" w14:textId="77777777" w:rsidR="009F66A4" w:rsidRPr="009F66A4" w:rsidRDefault="009F66A4" w:rsidP="009F66A4">
      <w:pPr>
        <w:numPr>
          <w:ilvl w:val="0"/>
          <w:numId w:val="72"/>
        </w:numPr>
      </w:pPr>
      <w:r w:rsidRPr="009F66A4">
        <w:t>Microbial bioremediation uses bacteria and other microbes to metabolize or transform pesticides into less harmful compounds.</w:t>
      </w:r>
    </w:p>
    <w:p w14:paraId="53F16DB2" w14:textId="77777777" w:rsidR="009F66A4" w:rsidRPr="009F66A4" w:rsidRDefault="009F66A4" w:rsidP="009F66A4">
      <w:pPr>
        <w:numPr>
          <w:ilvl w:val="0"/>
          <w:numId w:val="72"/>
        </w:numPr>
      </w:pPr>
      <w:proofErr w:type="spellStart"/>
      <w:r w:rsidRPr="009F66A4">
        <w:lastRenderedPageBreak/>
        <w:t>Mycoremediation</w:t>
      </w:r>
      <w:proofErr w:type="spellEnd"/>
      <w:r w:rsidRPr="009F66A4">
        <w:t xml:space="preserve"> specifically uses fungi; </w:t>
      </w:r>
      <w:proofErr w:type="spellStart"/>
      <w:r w:rsidRPr="009F66A4">
        <w:t>phycoremediation</w:t>
      </w:r>
      <w:proofErr w:type="spellEnd"/>
      <w:r w:rsidRPr="009F66A4">
        <w:t xml:space="preserve"> uses algae; phytoremediation employs plants for contaminant uptake or stabilization.</w:t>
      </w:r>
    </w:p>
    <w:p w14:paraId="700A220C" w14:textId="77777777" w:rsidR="009F66A4" w:rsidRPr="009F66A4" w:rsidRDefault="009F66A4" w:rsidP="009F66A4">
      <w:pPr>
        <w:numPr>
          <w:ilvl w:val="0"/>
          <w:numId w:val="72"/>
        </w:numPr>
      </w:pPr>
      <w:r w:rsidRPr="009F66A4">
        <w:t>The described method explicitly focuses on microorganisms in soils, hence microbial bioremediation.</w:t>
      </w:r>
    </w:p>
    <w:p w14:paraId="4FC92523" w14:textId="77777777" w:rsidR="009F66A4" w:rsidRPr="009F66A4" w:rsidRDefault="009F66A4" w:rsidP="009F66A4">
      <w:pPr>
        <w:numPr>
          <w:ilvl w:val="0"/>
          <w:numId w:val="73"/>
        </w:numPr>
      </w:pPr>
      <w:r w:rsidRPr="009F66A4">
        <w:t>The time period commonly used to calculate GWP by the Intergovernmental Panel on Climate Change (IPCC) is:</w:t>
      </w:r>
      <w:r w:rsidRPr="009F66A4">
        <w:br/>
        <w:t>(A) 20 years</w:t>
      </w:r>
      <w:r w:rsidRPr="009F66A4">
        <w:br/>
        <w:t>(B) 50 years</w:t>
      </w:r>
      <w:r w:rsidRPr="009F66A4">
        <w:br/>
        <w:t>(C) 100 years</w:t>
      </w:r>
      <w:r w:rsidRPr="009F66A4">
        <w:br/>
        <w:t>(D) 200 years</w:t>
      </w:r>
    </w:p>
    <w:p w14:paraId="72A29670" w14:textId="77777777" w:rsidR="009F66A4" w:rsidRPr="009F66A4" w:rsidRDefault="009F66A4" w:rsidP="009F66A4">
      <w:r w:rsidRPr="009F66A4">
        <w:t>Answer 76. (C) 100 years</w:t>
      </w:r>
    </w:p>
    <w:p w14:paraId="62724803" w14:textId="77777777" w:rsidR="009F66A4" w:rsidRPr="009F66A4" w:rsidRDefault="009F66A4" w:rsidP="009F66A4">
      <w:r w:rsidRPr="009F66A4">
        <w:t>Explanation:</w:t>
      </w:r>
    </w:p>
    <w:p w14:paraId="554188B5" w14:textId="77777777" w:rsidR="009F66A4" w:rsidRPr="009F66A4" w:rsidRDefault="009F66A4" w:rsidP="009F66A4">
      <w:pPr>
        <w:numPr>
          <w:ilvl w:val="0"/>
          <w:numId w:val="74"/>
        </w:numPr>
      </w:pPr>
      <w:r w:rsidRPr="009F66A4">
        <w:t>The IPCC standardizes global warming potential values on a 100-year time horizon for inter-gas comparisons in inventories and policy.</w:t>
      </w:r>
    </w:p>
    <w:p w14:paraId="4E267DFD" w14:textId="77777777" w:rsidR="009F66A4" w:rsidRPr="009F66A4" w:rsidRDefault="009F66A4" w:rsidP="009F66A4">
      <w:pPr>
        <w:numPr>
          <w:ilvl w:val="0"/>
          <w:numId w:val="74"/>
        </w:numPr>
      </w:pPr>
      <w:r w:rsidRPr="009F66A4">
        <w:t>Alternate horizons like 20-year are also reported for short-lived climate pollutants but 100-year is the default reference.</w:t>
      </w:r>
    </w:p>
    <w:p w14:paraId="35BC44E1" w14:textId="77777777" w:rsidR="009F66A4" w:rsidRPr="009F66A4" w:rsidRDefault="009F66A4" w:rsidP="009F66A4">
      <w:pPr>
        <w:numPr>
          <w:ilvl w:val="0"/>
          <w:numId w:val="74"/>
        </w:numPr>
      </w:pPr>
      <w:r w:rsidRPr="009F66A4">
        <w:t>Longer horizons such as 200 years are uncommon in standard reporting.</w:t>
      </w:r>
    </w:p>
    <w:p w14:paraId="12AB29C8" w14:textId="77777777" w:rsidR="009F66A4" w:rsidRPr="009F66A4" w:rsidRDefault="009F66A4" w:rsidP="009F66A4">
      <w:pPr>
        <w:numPr>
          <w:ilvl w:val="0"/>
          <w:numId w:val="75"/>
        </w:numPr>
      </w:pPr>
      <w:r w:rsidRPr="009F66A4">
        <w:t>In tropical laterite soils, which horizon is typically very thick and heavily leached?</w:t>
      </w:r>
      <w:r w:rsidRPr="009F66A4">
        <w:br/>
        <w:t>(A) A horizon</w:t>
      </w:r>
      <w:r w:rsidRPr="009F66A4">
        <w:br/>
        <w:t>(B) O horizon</w:t>
      </w:r>
      <w:r w:rsidRPr="009F66A4">
        <w:br/>
        <w:t>(C) B horizon</w:t>
      </w:r>
      <w:r w:rsidRPr="009F66A4">
        <w:br/>
        <w:t>(D) C horizon</w:t>
      </w:r>
    </w:p>
    <w:p w14:paraId="4B6EA06B" w14:textId="77777777" w:rsidR="009F66A4" w:rsidRPr="009F66A4" w:rsidRDefault="009F66A4" w:rsidP="009F66A4">
      <w:r w:rsidRPr="009F66A4">
        <w:t>Answer 77. (C) B horizon</w:t>
      </w:r>
    </w:p>
    <w:p w14:paraId="6E0CFCA3" w14:textId="77777777" w:rsidR="009F66A4" w:rsidRPr="009F66A4" w:rsidRDefault="009F66A4" w:rsidP="009F66A4">
      <w:r w:rsidRPr="009F66A4">
        <w:t>Explanation:</w:t>
      </w:r>
    </w:p>
    <w:p w14:paraId="0344FC45" w14:textId="77777777" w:rsidR="009F66A4" w:rsidRPr="009F66A4" w:rsidRDefault="009F66A4" w:rsidP="009F66A4">
      <w:pPr>
        <w:numPr>
          <w:ilvl w:val="0"/>
          <w:numId w:val="76"/>
        </w:numPr>
      </w:pPr>
      <w:r w:rsidRPr="009F66A4">
        <w:t xml:space="preserve">Lateritic profiles under intense leaching often exhibit a thick B horizon enriched in iron and </w:t>
      </w:r>
      <w:proofErr w:type="spellStart"/>
      <w:r w:rsidRPr="009F66A4">
        <w:t>aluminum</w:t>
      </w:r>
      <w:proofErr w:type="spellEnd"/>
      <w:r w:rsidRPr="009F66A4">
        <w:t xml:space="preserve"> oxides due to illuviation after eluviation from upper layers.</w:t>
      </w:r>
    </w:p>
    <w:p w14:paraId="088E8AB5" w14:textId="77777777" w:rsidR="009F66A4" w:rsidRPr="009F66A4" w:rsidRDefault="009F66A4" w:rsidP="009F66A4">
      <w:pPr>
        <w:numPr>
          <w:ilvl w:val="0"/>
          <w:numId w:val="76"/>
        </w:numPr>
      </w:pPr>
      <w:r w:rsidRPr="009F66A4">
        <w:t>The A horizon is typically depleted in bases and silica; the O horizon is organic litter and is thin or absent in many tropical settings.</w:t>
      </w:r>
    </w:p>
    <w:p w14:paraId="5F6BF89A" w14:textId="77777777" w:rsidR="009F66A4" w:rsidRPr="009F66A4" w:rsidRDefault="009F66A4" w:rsidP="009F66A4">
      <w:pPr>
        <w:numPr>
          <w:ilvl w:val="0"/>
          <w:numId w:val="76"/>
        </w:numPr>
      </w:pPr>
      <w:r w:rsidRPr="009F66A4">
        <w:t>The C horizon consists of relatively unaltered parent material and is not the zone of maximum leaching products’ accumulation.</w:t>
      </w:r>
    </w:p>
    <w:p w14:paraId="4C2D1B47" w14:textId="77777777" w:rsidR="009F66A4" w:rsidRPr="009F66A4" w:rsidRDefault="009F66A4" w:rsidP="009F66A4">
      <w:pPr>
        <w:numPr>
          <w:ilvl w:val="0"/>
          <w:numId w:val="77"/>
        </w:numPr>
      </w:pPr>
      <w:r w:rsidRPr="009F66A4">
        <w:t>The Kasturirangan Committee's recommendations on Western Ghats diverged from the Gadgil Committee on:</w:t>
      </w:r>
      <w:r w:rsidRPr="009F66A4">
        <w:br/>
        <w:t>(A) Scope of eco-sensitive areas</w:t>
      </w:r>
      <w:r w:rsidRPr="009F66A4">
        <w:br/>
        <w:t>(B) Promotion of tourism and agriculture in core zones</w:t>
      </w:r>
      <w:r w:rsidRPr="009F66A4">
        <w:br/>
        <w:t>(C) Industrial regulation and mining restrictions</w:t>
      </w:r>
      <w:r w:rsidRPr="009F66A4">
        <w:br/>
        <w:t>(D) Both (A) and (B)</w:t>
      </w:r>
    </w:p>
    <w:p w14:paraId="797C608F" w14:textId="77777777" w:rsidR="009F66A4" w:rsidRPr="009F66A4" w:rsidRDefault="009F66A4" w:rsidP="009F66A4">
      <w:r w:rsidRPr="009F66A4">
        <w:t>Answer 78. (D) Both (A) and (B)</w:t>
      </w:r>
    </w:p>
    <w:p w14:paraId="33915220" w14:textId="77777777" w:rsidR="009F66A4" w:rsidRPr="009F66A4" w:rsidRDefault="009F66A4" w:rsidP="009F66A4">
      <w:r w:rsidRPr="009F66A4">
        <w:t>Explanation:</w:t>
      </w:r>
    </w:p>
    <w:p w14:paraId="690858FC" w14:textId="77777777" w:rsidR="009F66A4" w:rsidRPr="009F66A4" w:rsidRDefault="009F66A4" w:rsidP="009F66A4">
      <w:pPr>
        <w:numPr>
          <w:ilvl w:val="0"/>
          <w:numId w:val="78"/>
        </w:numPr>
      </w:pPr>
      <w:r w:rsidRPr="009F66A4">
        <w:lastRenderedPageBreak/>
        <w:t>The Kasturirangan panel recommended a smaller portion of the Western Ghats (about 37%) as Ecologically Sensitive Area compared to the broader zonation in the Gadgil report, reflecting divergence in ESA scope.</w:t>
      </w:r>
    </w:p>
    <w:p w14:paraId="004AA0B4" w14:textId="77777777" w:rsidR="009F66A4" w:rsidRPr="009F66A4" w:rsidRDefault="009F66A4" w:rsidP="009F66A4">
      <w:pPr>
        <w:numPr>
          <w:ilvl w:val="0"/>
          <w:numId w:val="78"/>
        </w:numPr>
      </w:pPr>
      <w:r w:rsidRPr="009F66A4">
        <w:t>It adopted a more calibrated approach, allowing regulated activities including certain tourism and agriculture outside strict no-go zones, differing from Gadgil’s stricter prescriptions.</w:t>
      </w:r>
    </w:p>
    <w:p w14:paraId="4A03D51C" w14:textId="77777777" w:rsidR="009F66A4" w:rsidRPr="009F66A4" w:rsidRDefault="009F66A4" w:rsidP="009F66A4">
      <w:pPr>
        <w:numPr>
          <w:ilvl w:val="0"/>
          <w:numId w:val="78"/>
        </w:numPr>
      </w:pPr>
      <w:r w:rsidRPr="009F66A4">
        <w:t>Both committees sought regulation of mining and industry, but the key divergences highlighted concern ESA extent and treatment of livelihoods/tourism.</w:t>
      </w:r>
    </w:p>
    <w:p w14:paraId="10136419" w14:textId="77777777" w:rsidR="009F66A4" w:rsidRPr="009F66A4" w:rsidRDefault="009F66A4" w:rsidP="009F66A4">
      <w:pPr>
        <w:numPr>
          <w:ilvl w:val="0"/>
          <w:numId w:val="79"/>
        </w:numPr>
      </w:pPr>
      <w:r w:rsidRPr="009F66A4">
        <w:t>The International Finance Corporation (IFC), which supports private sector investments in developing countries including India, is part of:</w:t>
      </w:r>
      <w:r w:rsidRPr="009F66A4">
        <w:br/>
        <w:t>(A) World Bank Group</w:t>
      </w:r>
      <w:r w:rsidRPr="009F66A4">
        <w:br/>
        <w:t>(B) International Monetary Fund</w:t>
      </w:r>
      <w:r w:rsidRPr="009F66A4">
        <w:br/>
        <w:t>(C) United Nations Development Programme</w:t>
      </w:r>
      <w:r w:rsidRPr="009F66A4">
        <w:br/>
        <w:t>(D) Asian Development Bank</w:t>
      </w:r>
    </w:p>
    <w:p w14:paraId="52F3DB89" w14:textId="77777777" w:rsidR="009F66A4" w:rsidRPr="009F66A4" w:rsidRDefault="009F66A4" w:rsidP="009F66A4">
      <w:r w:rsidRPr="009F66A4">
        <w:t>Answer 79. (A) World Bank Group</w:t>
      </w:r>
    </w:p>
    <w:p w14:paraId="703A0968" w14:textId="77777777" w:rsidR="009F66A4" w:rsidRPr="009F66A4" w:rsidRDefault="009F66A4" w:rsidP="009F66A4">
      <w:r w:rsidRPr="009F66A4">
        <w:t>Explanation:</w:t>
      </w:r>
    </w:p>
    <w:p w14:paraId="7D87D789" w14:textId="77777777" w:rsidR="009F66A4" w:rsidRPr="009F66A4" w:rsidRDefault="009F66A4" w:rsidP="009F66A4">
      <w:pPr>
        <w:numPr>
          <w:ilvl w:val="0"/>
          <w:numId w:val="80"/>
        </w:numPr>
      </w:pPr>
      <w:r w:rsidRPr="009F66A4">
        <w:t xml:space="preserve">IFC is the private sector arm of the World Bank Group, providing investment and advisory support to </w:t>
      </w:r>
      <w:proofErr w:type="spellStart"/>
      <w:r w:rsidRPr="009F66A4">
        <w:t>catalyze</w:t>
      </w:r>
      <w:proofErr w:type="spellEnd"/>
      <w:r w:rsidRPr="009F66A4">
        <w:t xml:space="preserve"> development through private enterprise.</w:t>
      </w:r>
    </w:p>
    <w:p w14:paraId="5F648D3E" w14:textId="77777777" w:rsidR="009F66A4" w:rsidRPr="009F66A4" w:rsidRDefault="009F66A4" w:rsidP="009F66A4">
      <w:pPr>
        <w:numPr>
          <w:ilvl w:val="0"/>
          <w:numId w:val="80"/>
        </w:numPr>
      </w:pPr>
      <w:r w:rsidRPr="009F66A4">
        <w:t>It is distinct from IMF’s macro-financial stabilization role and from UNDP’s grant-based development programming.</w:t>
      </w:r>
    </w:p>
    <w:p w14:paraId="2F8B61B6" w14:textId="77777777" w:rsidR="009F66A4" w:rsidRPr="009F66A4" w:rsidRDefault="009F66A4" w:rsidP="009F66A4">
      <w:pPr>
        <w:numPr>
          <w:ilvl w:val="0"/>
          <w:numId w:val="80"/>
        </w:numPr>
      </w:pPr>
      <w:r w:rsidRPr="009F66A4">
        <w:t>It is not a regional development bank like ADB.</w:t>
      </w:r>
    </w:p>
    <w:p w14:paraId="113042F6" w14:textId="77777777" w:rsidR="009F66A4" w:rsidRPr="009F66A4" w:rsidRDefault="009F66A4" w:rsidP="009F66A4">
      <w:pPr>
        <w:numPr>
          <w:ilvl w:val="0"/>
          <w:numId w:val="81"/>
        </w:numPr>
      </w:pPr>
      <w:r w:rsidRPr="009F66A4">
        <w:t>According to the latest NITI Aayog MPI report, which union territory/state shows an MPI poverty headcount ratio below 10%?</w:t>
      </w:r>
      <w:r w:rsidRPr="009F66A4">
        <w:br/>
        <w:t>(A) Jammu &amp; Kashmir</w:t>
      </w:r>
      <w:r w:rsidRPr="009F66A4">
        <w:br/>
        <w:t>(B) Goa</w:t>
      </w:r>
      <w:r w:rsidRPr="009F66A4">
        <w:br/>
        <w:t>(C) Rajasthan</w:t>
      </w:r>
      <w:r w:rsidRPr="009F66A4">
        <w:br/>
        <w:t>(D) Assam</w:t>
      </w:r>
    </w:p>
    <w:p w14:paraId="0385818E" w14:textId="77777777" w:rsidR="009F66A4" w:rsidRPr="009F66A4" w:rsidRDefault="009F66A4" w:rsidP="009F66A4">
      <w:r w:rsidRPr="009F66A4">
        <w:t>Answer 80. (B) Goa</w:t>
      </w:r>
    </w:p>
    <w:p w14:paraId="33C7E22E" w14:textId="77777777" w:rsidR="009F66A4" w:rsidRPr="009F66A4" w:rsidRDefault="009F66A4" w:rsidP="009F66A4">
      <w:r w:rsidRPr="009F66A4">
        <w:t>Explanation:</w:t>
      </w:r>
    </w:p>
    <w:p w14:paraId="163CBE07" w14:textId="77777777" w:rsidR="009F66A4" w:rsidRPr="009F66A4" w:rsidRDefault="009F66A4" w:rsidP="009F66A4">
      <w:pPr>
        <w:numPr>
          <w:ilvl w:val="0"/>
          <w:numId w:val="82"/>
        </w:numPr>
      </w:pPr>
      <w:r w:rsidRPr="009F66A4">
        <w:t>Recent National Multidimensional Poverty Index assessments show Goa with a very low headcount ratio, well below 10%.</w:t>
      </w:r>
    </w:p>
    <w:p w14:paraId="3352D8AD" w14:textId="77777777" w:rsidR="009F66A4" w:rsidRPr="009F66A4" w:rsidRDefault="009F66A4" w:rsidP="009F66A4">
      <w:pPr>
        <w:numPr>
          <w:ilvl w:val="0"/>
          <w:numId w:val="82"/>
        </w:numPr>
      </w:pPr>
      <w:r w:rsidRPr="009F66A4">
        <w:t>Jammu &amp; Kashmir, Rajasthan, and Assam report higher MPI headcounts relative to Goa.</w:t>
      </w:r>
    </w:p>
    <w:p w14:paraId="24057514" w14:textId="265101BD" w:rsidR="00791C36" w:rsidRPr="008F2A2F" w:rsidRDefault="009F66A4" w:rsidP="008F2A2F">
      <w:pPr>
        <w:numPr>
          <w:ilvl w:val="0"/>
          <w:numId w:val="82"/>
        </w:numPr>
      </w:pPr>
      <w:r w:rsidRPr="009F66A4">
        <w:t>Goa’s strong performance reflects gains across health, education, and standard of living indicators.</w:t>
      </w:r>
    </w:p>
    <w:sectPr w:rsidR="00791C36" w:rsidRPr="008F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2464"/>
    <w:multiLevelType w:val="multilevel"/>
    <w:tmpl w:val="B12C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6CC"/>
    <w:multiLevelType w:val="multilevel"/>
    <w:tmpl w:val="834C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37888"/>
    <w:multiLevelType w:val="multilevel"/>
    <w:tmpl w:val="7D0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23D79"/>
    <w:multiLevelType w:val="multilevel"/>
    <w:tmpl w:val="1A6632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2202A"/>
    <w:multiLevelType w:val="multilevel"/>
    <w:tmpl w:val="23F24A2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017FC3"/>
    <w:multiLevelType w:val="multilevel"/>
    <w:tmpl w:val="57C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E31F9"/>
    <w:multiLevelType w:val="multilevel"/>
    <w:tmpl w:val="AB68354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C7C5A"/>
    <w:multiLevelType w:val="multilevel"/>
    <w:tmpl w:val="AF0E4D3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E7546"/>
    <w:multiLevelType w:val="multilevel"/>
    <w:tmpl w:val="AB649374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750ECC"/>
    <w:multiLevelType w:val="multilevel"/>
    <w:tmpl w:val="A820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3432E"/>
    <w:multiLevelType w:val="multilevel"/>
    <w:tmpl w:val="05D4131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0C42"/>
    <w:multiLevelType w:val="multilevel"/>
    <w:tmpl w:val="E1A4E8E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B2755"/>
    <w:multiLevelType w:val="multilevel"/>
    <w:tmpl w:val="2B12989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177325"/>
    <w:multiLevelType w:val="multilevel"/>
    <w:tmpl w:val="28F22E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70359"/>
    <w:multiLevelType w:val="multilevel"/>
    <w:tmpl w:val="446438F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365CA3"/>
    <w:multiLevelType w:val="multilevel"/>
    <w:tmpl w:val="4628F6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A32D49"/>
    <w:multiLevelType w:val="multilevel"/>
    <w:tmpl w:val="EAD2FFA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43276B"/>
    <w:multiLevelType w:val="multilevel"/>
    <w:tmpl w:val="C994C73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906C6"/>
    <w:multiLevelType w:val="multilevel"/>
    <w:tmpl w:val="0B004D3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4008A1"/>
    <w:multiLevelType w:val="multilevel"/>
    <w:tmpl w:val="890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C66DBA"/>
    <w:multiLevelType w:val="multilevel"/>
    <w:tmpl w:val="AB8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47450E"/>
    <w:multiLevelType w:val="multilevel"/>
    <w:tmpl w:val="BE22C12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7900A7"/>
    <w:multiLevelType w:val="multilevel"/>
    <w:tmpl w:val="732CFD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CD0725"/>
    <w:multiLevelType w:val="multilevel"/>
    <w:tmpl w:val="9B28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C30D65"/>
    <w:multiLevelType w:val="multilevel"/>
    <w:tmpl w:val="35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55821"/>
    <w:multiLevelType w:val="multilevel"/>
    <w:tmpl w:val="46DA99A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EB15C3"/>
    <w:multiLevelType w:val="multilevel"/>
    <w:tmpl w:val="22A4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DE5E5E"/>
    <w:multiLevelType w:val="multilevel"/>
    <w:tmpl w:val="2C50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5E054D"/>
    <w:multiLevelType w:val="multilevel"/>
    <w:tmpl w:val="38AA2308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F3BBE"/>
    <w:multiLevelType w:val="multilevel"/>
    <w:tmpl w:val="3C9E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E511F"/>
    <w:multiLevelType w:val="multilevel"/>
    <w:tmpl w:val="C1E4DA3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0A697E"/>
    <w:multiLevelType w:val="multilevel"/>
    <w:tmpl w:val="90547152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995DA3"/>
    <w:multiLevelType w:val="multilevel"/>
    <w:tmpl w:val="EFF2C2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403C82"/>
    <w:multiLevelType w:val="multilevel"/>
    <w:tmpl w:val="2D6C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80339"/>
    <w:multiLevelType w:val="multilevel"/>
    <w:tmpl w:val="C1F4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C41E21"/>
    <w:multiLevelType w:val="multilevel"/>
    <w:tmpl w:val="013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3753B8"/>
    <w:multiLevelType w:val="multilevel"/>
    <w:tmpl w:val="0556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3B4D22"/>
    <w:multiLevelType w:val="multilevel"/>
    <w:tmpl w:val="CF406FA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137556"/>
    <w:multiLevelType w:val="multilevel"/>
    <w:tmpl w:val="526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873D94"/>
    <w:multiLevelType w:val="multilevel"/>
    <w:tmpl w:val="13DE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A2473F"/>
    <w:multiLevelType w:val="multilevel"/>
    <w:tmpl w:val="E21874E0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356B0C"/>
    <w:multiLevelType w:val="multilevel"/>
    <w:tmpl w:val="CD4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692F99"/>
    <w:multiLevelType w:val="multilevel"/>
    <w:tmpl w:val="6360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D382D"/>
    <w:multiLevelType w:val="multilevel"/>
    <w:tmpl w:val="B36A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F730BC"/>
    <w:multiLevelType w:val="multilevel"/>
    <w:tmpl w:val="9A7E5DD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663E70"/>
    <w:multiLevelType w:val="multilevel"/>
    <w:tmpl w:val="1FB0F40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5004FA"/>
    <w:multiLevelType w:val="multilevel"/>
    <w:tmpl w:val="53B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011143"/>
    <w:multiLevelType w:val="multilevel"/>
    <w:tmpl w:val="E4C4F49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B51B22"/>
    <w:multiLevelType w:val="multilevel"/>
    <w:tmpl w:val="53A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D73718"/>
    <w:multiLevelType w:val="multilevel"/>
    <w:tmpl w:val="C640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107CB6"/>
    <w:multiLevelType w:val="multilevel"/>
    <w:tmpl w:val="4BAE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4513D9"/>
    <w:multiLevelType w:val="multilevel"/>
    <w:tmpl w:val="31C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0B561F"/>
    <w:multiLevelType w:val="multilevel"/>
    <w:tmpl w:val="4514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376728A"/>
    <w:multiLevelType w:val="multilevel"/>
    <w:tmpl w:val="D856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0E1534"/>
    <w:multiLevelType w:val="multilevel"/>
    <w:tmpl w:val="5AC221C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B53ED0"/>
    <w:multiLevelType w:val="multilevel"/>
    <w:tmpl w:val="ED9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BD38BA"/>
    <w:multiLevelType w:val="multilevel"/>
    <w:tmpl w:val="0C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CA30C0"/>
    <w:multiLevelType w:val="multilevel"/>
    <w:tmpl w:val="D1FEB6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A85498F"/>
    <w:multiLevelType w:val="multilevel"/>
    <w:tmpl w:val="5F9A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4639A8"/>
    <w:multiLevelType w:val="multilevel"/>
    <w:tmpl w:val="4DF2D43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99579A"/>
    <w:multiLevelType w:val="multilevel"/>
    <w:tmpl w:val="E8D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E227C1"/>
    <w:multiLevelType w:val="multilevel"/>
    <w:tmpl w:val="9CC4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5949DD"/>
    <w:multiLevelType w:val="multilevel"/>
    <w:tmpl w:val="E568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8D07F0"/>
    <w:multiLevelType w:val="multilevel"/>
    <w:tmpl w:val="5902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834D22"/>
    <w:multiLevelType w:val="multilevel"/>
    <w:tmpl w:val="AFBADE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221ED8"/>
    <w:multiLevelType w:val="multilevel"/>
    <w:tmpl w:val="1D1C09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487107"/>
    <w:multiLevelType w:val="multilevel"/>
    <w:tmpl w:val="D406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3821E96"/>
    <w:multiLevelType w:val="multilevel"/>
    <w:tmpl w:val="40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383254"/>
    <w:multiLevelType w:val="multilevel"/>
    <w:tmpl w:val="ED0C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60B59BD"/>
    <w:multiLevelType w:val="multilevel"/>
    <w:tmpl w:val="CEAE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D036DB"/>
    <w:multiLevelType w:val="multilevel"/>
    <w:tmpl w:val="57D8500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7E608E8"/>
    <w:multiLevelType w:val="multilevel"/>
    <w:tmpl w:val="96B084FE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8A80753"/>
    <w:multiLevelType w:val="multilevel"/>
    <w:tmpl w:val="4642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CC03F4"/>
    <w:multiLevelType w:val="multilevel"/>
    <w:tmpl w:val="CBC629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737C4D"/>
    <w:multiLevelType w:val="multilevel"/>
    <w:tmpl w:val="E2FC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AF7596"/>
    <w:multiLevelType w:val="multilevel"/>
    <w:tmpl w:val="A386D5F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CB1A42"/>
    <w:multiLevelType w:val="multilevel"/>
    <w:tmpl w:val="F8A224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8E3DD9"/>
    <w:multiLevelType w:val="multilevel"/>
    <w:tmpl w:val="BB14670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C702ADB"/>
    <w:multiLevelType w:val="multilevel"/>
    <w:tmpl w:val="A928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DD0B7E"/>
    <w:multiLevelType w:val="multilevel"/>
    <w:tmpl w:val="18D88560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686020"/>
    <w:multiLevelType w:val="multilevel"/>
    <w:tmpl w:val="D764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357ED1"/>
    <w:multiLevelType w:val="multilevel"/>
    <w:tmpl w:val="FD0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E844F6"/>
    <w:multiLevelType w:val="multilevel"/>
    <w:tmpl w:val="8A3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350655">
    <w:abstractNumId w:val="76"/>
  </w:num>
  <w:num w:numId="2" w16cid:durableId="1805192804">
    <w:abstractNumId w:val="51"/>
  </w:num>
  <w:num w:numId="3" w16cid:durableId="249003785">
    <w:abstractNumId w:val="36"/>
  </w:num>
  <w:num w:numId="4" w16cid:durableId="738021852">
    <w:abstractNumId w:val="46"/>
  </w:num>
  <w:num w:numId="5" w16cid:durableId="1554924854">
    <w:abstractNumId w:val="15"/>
  </w:num>
  <w:num w:numId="6" w16cid:durableId="1343506846">
    <w:abstractNumId w:val="81"/>
  </w:num>
  <w:num w:numId="7" w16cid:durableId="602418094">
    <w:abstractNumId w:val="73"/>
  </w:num>
  <w:num w:numId="8" w16cid:durableId="1910114646">
    <w:abstractNumId w:val="67"/>
  </w:num>
  <w:num w:numId="9" w16cid:durableId="813369756">
    <w:abstractNumId w:val="44"/>
  </w:num>
  <w:num w:numId="10" w16cid:durableId="1925844868">
    <w:abstractNumId w:val="52"/>
  </w:num>
  <w:num w:numId="11" w16cid:durableId="1143700234">
    <w:abstractNumId w:val="65"/>
  </w:num>
  <w:num w:numId="12" w16cid:durableId="1427768709">
    <w:abstractNumId w:val="66"/>
  </w:num>
  <w:num w:numId="13" w16cid:durableId="1372195759">
    <w:abstractNumId w:val="54"/>
  </w:num>
  <w:num w:numId="14" w16cid:durableId="1604875322">
    <w:abstractNumId w:val="58"/>
  </w:num>
  <w:num w:numId="15" w16cid:durableId="377315061">
    <w:abstractNumId w:val="10"/>
  </w:num>
  <w:num w:numId="16" w16cid:durableId="241376289">
    <w:abstractNumId w:val="29"/>
  </w:num>
  <w:num w:numId="17" w16cid:durableId="116335822">
    <w:abstractNumId w:val="47"/>
  </w:num>
  <w:num w:numId="18" w16cid:durableId="973027506">
    <w:abstractNumId w:val="19"/>
  </w:num>
  <w:num w:numId="19" w16cid:durableId="999385096">
    <w:abstractNumId w:val="45"/>
  </w:num>
  <w:num w:numId="20" w16cid:durableId="325868102">
    <w:abstractNumId w:val="42"/>
  </w:num>
  <w:num w:numId="21" w16cid:durableId="738601857">
    <w:abstractNumId w:val="3"/>
  </w:num>
  <w:num w:numId="22" w16cid:durableId="75055356">
    <w:abstractNumId w:val="20"/>
  </w:num>
  <w:num w:numId="23" w16cid:durableId="1874003065">
    <w:abstractNumId w:val="32"/>
  </w:num>
  <w:num w:numId="24" w16cid:durableId="11684505">
    <w:abstractNumId w:val="35"/>
  </w:num>
  <w:num w:numId="25" w16cid:durableId="1403063098">
    <w:abstractNumId w:val="13"/>
  </w:num>
  <w:num w:numId="26" w16cid:durableId="1951086591">
    <w:abstractNumId w:val="55"/>
  </w:num>
  <w:num w:numId="27" w16cid:durableId="1555893100">
    <w:abstractNumId w:val="59"/>
  </w:num>
  <w:num w:numId="28" w16cid:durableId="1325427775">
    <w:abstractNumId w:val="53"/>
  </w:num>
  <w:num w:numId="29" w16cid:durableId="194268481">
    <w:abstractNumId w:val="64"/>
  </w:num>
  <w:num w:numId="30" w16cid:durableId="556820690">
    <w:abstractNumId w:val="72"/>
  </w:num>
  <w:num w:numId="31" w16cid:durableId="1269586516">
    <w:abstractNumId w:val="12"/>
  </w:num>
  <w:num w:numId="32" w16cid:durableId="765659233">
    <w:abstractNumId w:val="82"/>
  </w:num>
  <w:num w:numId="33" w16cid:durableId="1789008708">
    <w:abstractNumId w:val="14"/>
  </w:num>
  <w:num w:numId="34" w16cid:durableId="383867402">
    <w:abstractNumId w:val="24"/>
  </w:num>
  <w:num w:numId="35" w16cid:durableId="522286437">
    <w:abstractNumId w:val="75"/>
  </w:num>
  <w:num w:numId="36" w16cid:durableId="101153748">
    <w:abstractNumId w:val="63"/>
  </w:num>
  <w:num w:numId="37" w16cid:durableId="826016957">
    <w:abstractNumId w:val="30"/>
  </w:num>
  <w:num w:numId="38" w16cid:durableId="72969188">
    <w:abstractNumId w:val="60"/>
  </w:num>
  <w:num w:numId="39" w16cid:durableId="573779897">
    <w:abstractNumId w:val="57"/>
  </w:num>
  <w:num w:numId="40" w16cid:durableId="1599756412">
    <w:abstractNumId w:val="69"/>
  </w:num>
  <w:num w:numId="41" w16cid:durableId="1100831476">
    <w:abstractNumId w:val="43"/>
  </w:num>
  <w:num w:numId="42" w16cid:durableId="27488576">
    <w:abstractNumId w:val="22"/>
  </w:num>
  <w:num w:numId="43" w16cid:durableId="2077626074">
    <w:abstractNumId w:val="0"/>
  </w:num>
  <w:num w:numId="44" w16cid:durableId="1502503983">
    <w:abstractNumId w:val="70"/>
  </w:num>
  <w:num w:numId="45" w16cid:durableId="211891209">
    <w:abstractNumId w:val="23"/>
  </w:num>
  <w:num w:numId="46" w16cid:durableId="1073814215">
    <w:abstractNumId w:val="68"/>
  </w:num>
  <w:num w:numId="47" w16cid:durableId="704403852">
    <w:abstractNumId w:val="78"/>
  </w:num>
  <w:num w:numId="48" w16cid:durableId="1139223142">
    <w:abstractNumId w:val="4"/>
  </w:num>
  <w:num w:numId="49" w16cid:durableId="712659297">
    <w:abstractNumId w:val="33"/>
  </w:num>
  <w:num w:numId="50" w16cid:durableId="510485383">
    <w:abstractNumId w:val="37"/>
  </w:num>
  <w:num w:numId="51" w16cid:durableId="2022193850">
    <w:abstractNumId w:val="80"/>
  </w:num>
  <w:num w:numId="52" w16cid:durableId="1069421197">
    <w:abstractNumId w:val="21"/>
  </w:num>
  <w:num w:numId="53" w16cid:durableId="1699041615">
    <w:abstractNumId w:val="56"/>
  </w:num>
  <w:num w:numId="54" w16cid:durableId="1984238131">
    <w:abstractNumId w:val="7"/>
  </w:num>
  <w:num w:numId="55" w16cid:durableId="719400252">
    <w:abstractNumId w:val="48"/>
  </w:num>
  <w:num w:numId="56" w16cid:durableId="346249970">
    <w:abstractNumId w:val="6"/>
  </w:num>
  <w:num w:numId="57" w16cid:durableId="198007057">
    <w:abstractNumId w:val="39"/>
  </w:num>
  <w:num w:numId="58" w16cid:durableId="1465738241">
    <w:abstractNumId w:val="11"/>
  </w:num>
  <w:num w:numId="59" w16cid:durableId="1153646573">
    <w:abstractNumId w:val="49"/>
  </w:num>
  <w:num w:numId="60" w16cid:durableId="1998721766">
    <w:abstractNumId w:val="16"/>
  </w:num>
  <w:num w:numId="61" w16cid:durableId="1908028494">
    <w:abstractNumId w:val="41"/>
  </w:num>
  <w:num w:numId="62" w16cid:durableId="868639876">
    <w:abstractNumId w:val="34"/>
  </w:num>
  <w:num w:numId="63" w16cid:durableId="845293406">
    <w:abstractNumId w:val="77"/>
  </w:num>
  <w:num w:numId="64" w16cid:durableId="857474238">
    <w:abstractNumId w:val="1"/>
  </w:num>
  <w:num w:numId="65" w16cid:durableId="579296366">
    <w:abstractNumId w:val="8"/>
  </w:num>
  <w:num w:numId="66" w16cid:durableId="1845589144">
    <w:abstractNumId w:val="26"/>
  </w:num>
  <w:num w:numId="67" w16cid:durableId="455485765">
    <w:abstractNumId w:val="28"/>
  </w:num>
  <w:num w:numId="68" w16cid:durableId="1836724328">
    <w:abstractNumId w:val="61"/>
  </w:num>
  <w:num w:numId="69" w16cid:durableId="2027049199">
    <w:abstractNumId w:val="31"/>
  </w:num>
  <w:num w:numId="70" w16cid:durableId="414863748">
    <w:abstractNumId w:val="27"/>
  </w:num>
  <w:num w:numId="71" w16cid:durableId="1116943375">
    <w:abstractNumId w:val="71"/>
  </w:num>
  <w:num w:numId="72" w16cid:durableId="229312810">
    <w:abstractNumId w:val="62"/>
  </w:num>
  <w:num w:numId="73" w16cid:durableId="310720417">
    <w:abstractNumId w:val="25"/>
  </w:num>
  <w:num w:numId="74" w16cid:durableId="252053050">
    <w:abstractNumId w:val="50"/>
  </w:num>
  <w:num w:numId="75" w16cid:durableId="349987862">
    <w:abstractNumId w:val="79"/>
  </w:num>
  <w:num w:numId="76" w16cid:durableId="936252651">
    <w:abstractNumId w:val="74"/>
  </w:num>
  <w:num w:numId="77" w16cid:durableId="657927057">
    <w:abstractNumId w:val="17"/>
  </w:num>
  <w:num w:numId="78" w16cid:durableId="664864842">
    <w:abstractNumId w:val="5"/>
  </w:num>
  <w:num w:numId="79" w16cid:durableId="1267885786">
    <w:abstractNumId w:val="18"/>
  </w:num>
  <w:num w:numId="80" w16cid:durableId="81224872">
    <w:abstractNumId w:val="2"/>
  </w:num>
  <w:num w:numId="81" w16cid:durableId="493574505">
    <w:abstractNumId w:val="40"/>
  </w:num>
  <w:num w:numId="82" w16cid:durableId="1696661874">
    <w:abstractNumId w:val="38"/>
  </w:num>
  <w:num w:numId="83" w16cid:durableId="252056317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35739"/>
    <w:rsid w:val="00063B33"/>
    <w:rsid w:val="00093681"/>
    <w:rsid w:val="00244C70"/>
    <w:rsid w:val="00276C18"/>
    <w:rsid w:val="00394565"/>
    <w:rsid w:val="00566A15"/>
    <w:rsid w:val="005B5164"/>
    <w:rsid w:val="005D25D4"/>
    <w:rsid w:val="00696436"/>
    <w:rsid w:val="0070514E"/>
    <w:rsid w:val="00774BF2"/>
    <w:rsid w:val="007849A4"/>
    <w:rsid w:val="00791C36"/>
    <w:rsid w:val="008F2A2F"/>
    <w:rsid w:val="008F5678"/>
    <w:rsid w:val="00901B77"/>
    <w:rsid w:val="00922037"/>
    <w:rsid w:val="009B420B"/>
    <w:rsid w:val="009F66A4"/>
    <w:rsid w:val="00A05CEB"/>
    <w:rsid w:val="00A92479"/>
    <w:rsid w:val="00C86540"/>
    <w:rsid w:val="00CA1B92"/>
    <w:rsid w:val="00CB166A"/>
    <w:rsid w:val="00CC489C"/>
    <w:rsid w:val="00D049BB"/>
    <w:rsid w:val="00D36842"/>
    <w:rsid w:val="00DC4673"/>
    <w:rsid w:val="00E96FDB"/>
    <w:rsid w:val="00EC4A66"/>
    <w:rsid w:val="00EC6B77"/>
    <w:rsid w:val="00EC7870"/>
    <w:rsid w:val="00F028A4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27</cp:revision>
  <dcterms:created xsi:type="dcterms:W3CDTF">2025-04-06T17:03:00Z</dcterms:created>
  <dcterms:modified xsi:type="dcterms:W3CDTF">2025-08-25T15:45:00Z</dcterms:modified>
</cp:coreProperties>
</file>