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B600" w14:textId="77777777" w:rsidR="007B536F" w:rsidRDefault="007B536F" w:rsidP="007B536F">
      <w:pPr>
        <w:pStyle w:val="my-2"/>
        <w:numPr>
          <w:ilvl w:val="0"/>
          <w:numId w:val="27"/>
        </w:numPr>
      </w:pPr>
      <w:r>
        <w:t xml:space="preserve">In April 2025, the Guwahati High Court allowed the preservation of the </w:t>
      </w:r>
      <w:proofErr w:type="spellStart"/>
      <w:r>
        <w:t>Doul</w:t>
      </w:r>
      <w:proofErr w:type="spellEnd"/>
      <w:r>
        <w:t xml:space="preserve"> </w:t>
      </w:r>
      <w:proofErr w:type="spellStart"/>
      <w:r>
        <w:t>Govinda</w:t>
      </w:r>
      <w:proofErr w:type="spellEnd"/>
      <w:r>
        <w:t xml:space="preserve"> Temple on the Brahmaputra banks despite erosion threats. The "</w:t>
      </w:r>
      <w:proofErr w:type="spellStart"/>
      <w:r>
        <w:t>Doul</w:t>
      </w:r>
      <w:proofErr w:type="spellEnd"/>
      <w:r>
        <w:t xml:space="preserve"> Utsav" associated with this temple is primarily celebrated in </w:t>
      </w:r>
      <w:proofErr w:type="spellStart"/>
      <w:r>
        <w:t>honor</w:t>
      </w:r>
      <w:proofErr w:type="spellEnd"/>
      <w:r>
        <w:t xml:space="preserve"> of</w:t>
      </w:r>
      <w:r>
        <w:br/>
        <w:t>(A) Lord Krishna</w:t>
      </w:r>
      <w:r>
        <w:br/>
        <w:t>(B) Lord Vishnu in his Narasimha avatar</w:t>
      </w:r>
      <w:r>
        <w:br/>
        <w:t xml:space="preserve">(C) Goddess </w:t>
      </w:r>
      <w:proofErr w:type="spellStart"/>
      <w:r>
        <w:t>Kamakhya</w:t>
      </w:r>
      <w:proofErr w:type="spellEnd"/>
      <w:r>
        <w:br/>
        <w:t>(D) Mahadeva (Lord Shiva)</w:t>
      </w:r>
    </w:p>
    <w:p w14:paraId="5DEAD2AC" w14:textId="77777777" w:rsidR="007B536F" w:rsidRDefault="007B536F" w:rsidP="007B536F">
      <w:pPr>
        <w:pStyle w:val="my-2"/>
      </w:pPr>
      <w:r>
        <w:t>Answer 1. (A) Lord Krishna</w:t>
      </w:r>
    </w:p>
    <w:p w14:paraId="14A104ED" w14:textId="77777777" w:rsidR="007B536F" w:rsidRDefault="007B536F" w:rsidP="007B536F">
      <w:pPr>
        <w:pStyle w:val="my-2"/>
      </w:pPr>
      <w:r>
        <w:t>Explanation:</w:t>
      </w:r>
    </w:p>
    <w:p w14:paraId="0046B5EB" w14:textId="77777777" w:rsidR="007B536F" w:rsidRDefault="007B536F" w:rsidP="007B536F">
      <w:pPr>
        <w:pStyle w:val="my-2"/>
        <w:numPr>
          <w:ilvl w:val="0"/>
          <w:numId w:val="28"/>
        </w:numPr>
      </w:pPr>
      <w:proofErr w:type="spellStart"/>
      <w:r>
        <w:t>Doul</w:t>
      </w:r>
      <w:proofErr w:type="spellEnd"/>
      <w:r>
        <w:t xml:space="preserve"> </w:t>
      </w:r>
      <w:proofErr w:type="spellStart"/>
      <w:r>
        <w:t>Govinda</w:t>
      </w:r>
      <w:proofErr w:type="spellEnd"/>
      <w:r>
        <w:t xml:space="preserve"> Temple is renowned for its annual </w:t>
      </w:r>
      <w:proofErr w:type="spellStart"/>
      <w:r>
        <w:t>Doul</w:t>
      </w:r>
      <w:proofErr w:type="spellEnd"/>
      <w:r>
        <w:t xml:space="preserve"> Utsav, a prominent Holi festival dedicated to Lord Krishna.</w:t>
      </w:r>
    </w:p>
    <w:p w14:paraId="33BDA63A" w14:textId="77777777" w:rsidR="007B536F" w:rsidRDefault="007B536F" w:rsidP="007B536F">
      <w:pPr>
        <w:pStyle w:val="my-2"/>
        <w:numPr>
          <w:ilvl w:val="0"/>
          <w:numId w:val="28"/>
        </w:numPr>
      </w:pPr>
      <w:r>
        <w:t xml:space="preserve">The festival involves playing with </w:t>
      </w:r>
      <w:proofErr w:type="spellStart"/>
      <w:r>
        <w:t>colors</w:t>
      </w:r>
      <w:proofErr w:type="spellEnd"/>
      <w:r>
        <w:t xml:space="preserve">, Kirtan, and other </w:t>
      </w:r>
      <w:proofErr w:type="spellStart"/>
      <w:r>
        <w:t>Vaishnavite</w:t>
      </w:r>
      <w:proofErr w:type="spellEnd"/>
      <w:r>
        <w:t xml:space="preserve"> rituals celebrating Krishna, in line with the temple's theological traditions.</w:t>
      </w:r>
    </w:p>
    <w:p w14:paraId="0D9EDF35" w14:textId="77777777" w:rsidR="007B536F" w:rsidRDefault="007B536F" w:rsidP="007B536F">
      <w:pPr>
        <w:pStyle w:val="my-2"/>
        <w:numPr>
          <w:ilvl w:val="0"/>
          <w:numId w:val="28"/>
        </w:numPr>
      </w:pPr>
      <w:r>
        <w:t>The temple and its festival are strongly linked to the ‘</w:t>
      </w:r>
      <w:proofErr w:type="spellStart"/>
      <w:r>
        <w:t>Doul</w:t>
      </w:r>
      <w:proofErr w:type="spellEnd"/>
      <w:r>
        <w:t xml:space="preserve">’ (Holi) legend of Krishna, not to the Narasimha avatar, </w:t>
      </w:r>
      <w:proofErr w:type="spellStart"/>
      <w:r>
        <w:t>Kamakhya</w:t>
      </w:r>
      <w:proofErr w:type="spellEnd"/>
      <w:r>
        <w:t>, or Shiva.</w:t>
      </w:r>
    </w:p>
    <w:p w14:paraId="22E5B7D7" w14:textId="77777777" w:rsidR="007B536F" w:rsidRDefault="007B536F" w:rsidP="007B536F">
      <w:pPr>
        <w:pStyle w:val="my-2"/>
        <w:numPr>
          <w:ilvl w:val="0"/>
          <w:numId w:val="29"/>
        </w:numPr>
      </w:pPr>
      <w:r>
        <w:t>In August 2024, the Government of Assam declared the indigenous "</w:t>
      </w:r>
      <w:proofErr w:type="spellStart"/>
      <w:r>
        <w:t>Mising</w:t>
      </w:r>
      <w:proofErr w:type="spellEnd"/>
      <w:r>
        <w:t xml:space="preserve"> </w:t>
      </w:r>
      <w:proofErr w:type="spellStart"/>
      <w:r>
        <w:t>Agom</w:t>
      </w:r>
      <w:proofErr w:type="spellEnd"/>
      <w:r>
        <w:t xml:space="preserve">" language to be promoted under the New Education Policy in schools of </w:t>
      </w:r>
      <w:proofErr w:type="spellStart"/>
      <w:r>
        <w:t>Dhemaji</w:t>
      </w:r>
      <w:proofErr w:type="spellEnd"/>
      <w:r>
        <w:t xml:space="preserve"> and Lakhimpur. </w:t>
      </w:r>
      <w:proofErr w:type="spellStart"/>
      <w:r>
        <w:t>Mising</w:t>
      </w:r>
      <w:proofErr w:type="spellEnd"/>
      <w:r>
        <w:t xml:space="preserve"> belongs to which larger language family?</w:t>
      </w:r>
      <w:r>
        <w:br/>
        <w:t xml:space="preserve">(A) </w:t>
      </w:r>
      <w:proofErr w:type="spellStart"/>
      <w:r>
        <w:t>IndoAryan</w:t>
      </w:r>
      <w:proofErr w:type="spellEnd"/>
      <w:r>
        <w:br/>
        <w:t>(B) Dravidian</w:t>
      </w:r>
      <w:r>
        <w:br/>
        <w:t xml:space="preserve">(C) </w:t>
      </w:r>
      <w:proofErr w:type="spellStart"/>
      <w:r>
        <w:t>SinoTibetan</w:t>
      </w:r>
      <w:proofErr w:type="spellEnd"/>
      <w:r>
        <w:br/>
        <w:t>(D) Austroasiatic</w:t>
      </w:r>
    </w:p>
    <w:p w14:paraId="61CA86CC" w14:textId="77777777" w:rsidR="007B536F" w:rsidRDefault="007B536F" w:rsidP="007B536F">
      <w:pPr>
        <w:pStyle w:val="my-2"/>
      </w:pPr>
      <w:r>
        <w:t xml:space="preserve">Answer 2. (C) </w:t>
      </w:r>
      <w:proofErr w:type="spellStart"/>
      <w:r>
        <w:t>SinoTibetan</w:t>
      </w:r>
      <w:proofErr w:type="spellEnd"/>
    </w:p>
    <w:p w14:paraId="31A23C31" w14:textId="77777777" w:rsidR="007B536F" w:rsidRDefault="007B536F" w:rsidP="007B536F">
      <w:pPr>
        <w:pStyle w:val="my-2"/>
      </w:pPr>
      <w:r>
        <w:t>Explanation:</w:t>
      </w:r>
    </w:p>
    <w:p w14:paraId="37EBF5D9" w14:textId="77777777" w:rsidR="007B536F" w:rsidRDefault="007B536F" w:rsidP="007B536F">
      <w:pPr>
        <w:pStyle w:val="my-2"/>
        <w:numPr>
          <w:ilvl w:val="0"/>
          <w:numId w:val="30"/>
        </w:numPr>
      </w:pPr>
      <w:proofErr w:type="spellStart"/>
      <w:r>
        <w:t>Mising</w:t>
      </w:r>
      <w:proofErr w:type="spellEnd"/>
      <w:r>
        <w:t xml:space="preserve"> (also spelled Mishing) is a major ethnic language of the </w:t>
      </w:r>
      <w:proofErr w:type="spellStart"/>
      <w:r>
        <w:t>Mising</w:t>
      </w:r>
      <w:proofErr w:type="spellEnd"/>
      <w:r>
        <w:t xml:space="preserve"> community and is classified within the Sino-Tibetan language family.</w:t>
      </w:r>
    </w:p>
    <w:p w14:paraId="72435BB2" w14:textId="77777777" w:rsidR="007B536F" w:rsidRDefault="007B536F" w:rsidP="007B536F">
      <w:pPr>
        <w:pStyle w:val="my-2"/>
        <w:numPr>
          <w:ilvl w:val="0"/>
          <w:numId w:val="30"/>
        </w:numPr>
      </w:pPr>
      <w:r>
        <w:t>This branch is distinct from the Indo-Aryan, Austroasiatic, or Dravidian language families found elsewhere in India.</w:t>
      </w:r>
    </w:p>
    <w:p w14:paraId="1D21C203" w14:textId="77777777" w:rsidR="007B536F" w:rsidRDefault="007B536F" w:rsidP="007B536F">
      <w:pPr>
        <w:pStyle w:val="my-2"/>
        <w:numPr>
          <w:ilvl w:val="0"/>
          <w:numId w:val="30"/>
        </w:numPr>
      </w:pPr>
      <w:r>
        <w:t xml:space="preserve">The move to promote </w:t>
      </w:r>
      <w:proofErr w:type="spellStart"/>
      <w:r>
        <w:t>Mising</w:t>
      </w:r>
      <w:proofErr w:type="spellEnd"/>
      <w:r>
        <w:t xml:space="preserve"> aligns with NEP’s inclusion of linguistic diversity in Assam’s school education policy.</w:t>
      </w:r>
    </w:p>
    <w:p w14:paraId="331CBACB" w14:textId="77777777" w:rsidR="007B536F" w:rsidRDefault="007B536F" w:rsidP="007B536F">
      <w:pPr>
        <w:pStyle w:val="my-2"/>
        <w:numPr>
          <w:ilvl w:val="0"/>
          <w:numId w:val="31"/>
        </w:numPr>
      </w:pPr>
      <w:r>
        <w:t>On May 1, 2025, Assam Tea Tribe community launched a museum in Dibrugarh dedicated to Adivasi struggles. Consider the following statements: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Tea garden</w:t>
      </w:r>
      <w:proofErr w:type="gramEnd"/>
      <w:r>
        <w:t xml:space="preserve"> laborers were mostly brought from </w:t>
      </w:r>
      <w:proofErr w:type="spellStart"/>
      <w:r>
        <w:t>Chotanagpur</w:t>
      </w:r>
      <w:proofErr w:type="spellEnd"/>
      <w:r>
        <w:t xml:space="preserve"> plateau between 1840s–1860s.</w:t>
      </w:r>
      <w:r>
        <w:br/>
        <w:t xml:space="preserve">(ii) Santhals, </w:t>
      </w:r>
      <w:proofErr w:type="spellStart"/>
      <w:r>
        <w:t>Mundas</w:t>
      </w:r>
      <w:proofErr w:type="spellEnd"/>
      <w:r>
        <w:t xml:space="preserve">, and </w:t>
      </w:r>
      <w:proofErr w:type="spellStart"/>
      <w:r>
        <w:t>Oraons</w:t>
      </w:r>
      <w:proofErr w:type="spellEnd"/>
      <w:r>
        <w:t xml:space="preserve"> are among the major groups working in Assam’s tea estates.</w:t>
      </w:r>
      <w:r>
        <w:br/>
        <w:t>(iii) The Indigo Revolt of Bengal was directly responsible for the migration of tea laborers into Assam.</w:t>
      </w:r>
      <w:r>
        <w:br/>
        <w:t xml:space="preserve">(iv) </w:t>
      </w:r>
      <w:proofErr w:type="spellStart"/>
      <w:r>
        <w:t>Jhumur</w:t>
      </w:r>
      <w:proofErr w:type="spellEnd"/>
      <w:r>
        <w:t xml:space="preserve"> dance and </w:t>
      </w:r>
      <w:proofErr w:type="spellStart"/>
      <w:r>
        <w:t>Tusu</w:t>
      </w:r>
      <w:proofErr w:type="spellEnd"/>
      <w:r>
        <w:t xml:space="preserve"> songs remain integral cultural markers of this community.</w:t>
      </w:r>
    </w:p>
    <w:p w14:paraId="7036BF15" w14:textId="77777777" w:rsidR="007B536F" w:rsidRDefault="007B536F" w:rsidP="007B536F">
      <w:pPr>
        <w:pStyle w:val="my-2"/>
      </w:pPr>
      <w:r>
        <w:t>Answer 3. (</w:t>
      </w:r>
      <w:proofErr w:type="spellStart"/>
      <w:r>
        <w:t>i</w:t>
      </w:r>
      <w:proofErr w:type="spellEnd"/>
      <w:r>
        <w:t>), (ii), and (iv) are correct; (iii) is incorrect</w:t>
      </w:r>
    </w:p>
    <w:p w14:paraId="7F4D7173" w14:textId="77777777" w:rsidR="007B536F" w:rsidRDefault="007B536F" w:rsidP="007B536F">
      <w:pPr>
        <w:pStyle w:val="my-2"/>
      </w:pPr>
      <w:r>
        <w:lastRenderedPageBreak/>
        <w:t>Explanation:</w:t>
      </w:r>
    </w:p>
    <w:p w14:paraId="59064D79" w14:textId="77777777" w:rsidR="007B536F" w:rsidRDefault="007B536F" w:rsidP="007B536F">
      <w:pPr>
        <w:pStyle w:val="my-2"/>
        <w:numPr>
          <w:ilvl w:val="0"/>
          <w:numId w:val="32"/>
        </w:numPr>
      </w:pPr>
      <w:r>
        <w:t xml:space="preserve">The bulk of tea garden laborers in Assam were indeed brought from the </w:t>
      </w:r>
      <w:proofErr w:type="spellStart"/>
      <w:r>
        <w:t>Chotanagpur</w:t>
      </w:r>
      <w:proofErr w:type="spellEnd"/>
      <w:r>
        <w:t xml:space="preserve"> plateau during the 19th century, especially in the mid-1800s.</w:t>
      </w:r>
    </w:p>
    <w:p w14:paraId="61D70F2B" w14:textId="77777777" w:rsidR="007B536F" w:rsidRDefault="007B536F" w:rsidP="007B536F">
      <w:pPr>
        <w:pStyle w:val="my-2"/>
        <w:numPr>
          <w:ilvl w:val="0"/>
          <w:numId w:val="32"/>
        </w:numPr>
      </w:pPr>
      <w:r>
        <w:t xml:space="preserve">The main communities in the estates include Santhal, Munda, </w:t>
      </w:r>
      <w:proofErr w:type="spellStart"/>
      <w:r>
        <w:t>Oraon</w:t>
      </w:r>
      <w:proofErr w:type="spellEnd"/>
      <w:r>
        <w:t>, and a few others.</w:t>
      </w:r>
    </w:p>
    <w:p w14:paraId="126DDA43" w14:textId="77777777" w:rsidR="007B536F" w:rsidRDefault="007B536F" w:rsidP="007B536F">
      <w:pPr>
        <w:pStyle w:val="my-2"/>
        <w:numPr>
          <w:ilvl w:val="0"/>
          <w:numId w:val="32"/>
        </w:numPr>
      </w:pPr>
      <w:r>
        <w:t>The Indigo Revolt was a separate agrarian movement and was not the direct cause of migration of tea laborers to Assam, making (iii) incorrect.</w:t>
      </w:r>
    </w:p>
    <w:p w14:paraId="1B5AF690" w14:textId="77777777" w:rsidR="007B536F" w:rsidRDefault="007B536F" w:rsidP="007B536F">
      <w:pPr>
        <w:pStyle w:val="my-2"/>
        <w:numPr>
          <w:ilvl w:val="0"/>
          <w:numId w:val="32"/>
        </w:numPr>
      </w:pPr>
      <w:r>
        <w:t xml:space="preserve">Folk forms like </w:t>
      </w:r>
      <w:proofErr w:type="spellStart"/>
      <w:r>
        <w:t>Jhumur</w:t>
      </w:r>
      <w:proofErr w:type="spellEnd"/>
      <w:r>
        <w:t xml:space="preserve"> dance and </w:t>
      </w:r>
      <w:proofErr w:type="spellStart"/>
      <w:r>
        <w:t>Tusu</w:t>
      </w:r>
      <w:proofErr w:type="spellEnd"/>
      <w:r>
        <w:t xml:space="preserve"> songs form the bedrock of the community’s cultural life.</w:t>
      </w:r>
    </w:p>
    <w:p w14:paraId="0BB1AAF6" w14:textId="77777777" w:rsidR="007B536F" w:rsidRDefault="007B536F" w:rsidP="007B536F">
      <w:pPr>
        <w:pStyle w:val="my-2"/>
        <w:numPr>
          <w:ilvl w:val="0"/>
          <w:numId w:val="33"/>
        </w:numPr>
      </w:pPr>
      <w:r>
        <w:t xml:space="preserve">Which of the following statements about </w:t>
      </w:r>
      <w:proofErr w:type="spellStart"/>
      <w:r>
        <w:t>Sattriya</w:t>
      </w:r>
      <w:proofErr w:type="spellEnd"/>
      <w:r>
        <w:t xml:space="preserve"> Dance is incorrect?</w:t>
      </w:r>
      <w:r>
        <w:br/>
        <w:t xml:space="preserve">(A) It was introduced by </w:t>
      </w:r>
      <w:proofErr w:type="spellStart"/>
      <w:r>
        <w:t>Srimanta</w:t>
      </w:r>
      <w:proofErr w:type="spellEnd"/>
      <w:r>
        <w:t xml:space="preserve"> </w:t>
      </w:r>
      <w:proofErr w:type="spellStart"/>
      <w:r>
        <w:t>Sankardev</w:t>
      </w:r>
      <w:proofErr w:type="spellEnd"/>
      <w:r>
        <w:t xml:space="preserve"> in the 15th-16th century as a devotional dance-drama.</w:t>
      </w:r>
      <w:r>
        <w:br/>
        <w:t xml:space="preserve">(B) It is one of the eight classical dance forms of India recognized by the Sangeet Natak </w:t>
      </w:r>
      <w:proofErr w:type="spellStart"/>
      <w:r>
        <w:t>Akademi</w:t>
      </w:r>
      <w:proofErr w:type="spellEnd"/>
      <w:r>
        <w:t>.</w:t>
      </w:r>
      <w:r>
        <w:br/>
        <w:t xml:space="preserve">(C) It is traditionally performed in monasteries called </w:t>
      </w:r>
      <w:proofErr w:type="spellStart"/>
      <w:r>
        <w:t>Satras</w:t>
      </w:r>
      <w:proofErr w:type="spellEnd"/>
      <w:r>
        <w:t>.</w:t>
      </w:r>
      <w:r>
        <w:br/>
        <w:t>(D) It was originally a war dance performed by the Dimasa kings during coronations.</w:t>
      </w:r>
    </w:p>
    <w:p w14:paraId="39F85F22" w14:textId="77777777" w:rsidR="007B536F" w:rsidRDefault="007B536F" w:rsidP="007B536F">
      <w:pPr>
        <w:pStyle w:val="my-2"/>
      </w:pPr>
      <w:r>
        <w:t>Answer 4. (D) It was originally a war dance performed by the Dimasa kings during coronations.</w:t>
      </w:r>
    </w:p>
    <w:p w14:paraId="086664EF" w14:textId="77777777" w:rsidR="007B536F" w:rsidRDefault="007B536F" w:rsidP="007B536F">
      <w:pPr>
        <w:pStyle w:val="my-2"/>
      </w:pPr>
      <w:r>
        <w:t>Explanation:</w:t>
      </w:r>
    </w:p>
    <w:p w14:paraId="5B3AE689" w14:textId="77777777" w:rsidR="007B536F" w:rsidRDefault="007B536F" w:rsidP="007B536F">
      <w:pPr>
        <w:pStyle w:val="my-2"/>
        <w:numPr>
          <w:ilvl w:val="0"/>
          <w:numId w:val="34"/>
        </w:numPr>
      </w:pPr>
      <w:proofErr w:type="spellStart"/>
      <w:r>
        <w:t>Sattriya</w:t>
      </w:r>
      <w:proofErr w:type="spellEnd"/>
      <w:r>
        <w:t xml:space="preserve"> evolved as a component of neo-</w:t>
      </w:r>
      <w:proofErr w:type="spellStart"/>
      <w:r>
        <w:t>Vaishnavite</w:t>
      </w:r>
      <w:proofErr w:type="spellEnd"/>
      <w:r>
        <w:t xml:space="preserve"> devotional art founded by </w:t>
      </w:r>
      <w:proofErr w:type="spellStart"/>
      <w:r>
        <w:t>Srimanta</w:t>
      </w:r>
      <w:proofErr w:type="spellEnd"/>
      <w:r>
        <w:t xml:space="preserve"> </w:t>
      </w:r>
      <w:proofErr w:type="spellStart"/>
      <w:r>
        <w:t>Sankardev</w:t>
      </w:r>
      <w:proofErr w:type="spellEnd"/>
      <w:r>
        <w:t xml:space="preserve"> in Assam.</w:t>
      </w:r>
    </w:p>
    <w:p w14:paraId="7DAAFB12" w14:textId="77777777" w:rsidR="007B536F" w:rsidRDefault="007B536F" w:rsidP="007B536F">
      <w:pPr>
        <w:pStyle w:val="my-2"/>
        <w:numPr>
          <w:ilvl w:val="0"/>
          <w:numId w:val="34"/>
        </w:numPr>
      </w:pPr>
      <w:r>
        <w:t xml:space="preserve">It is inherently a narrative dance-drama performed in </w:t>
      </w:r>
      <w:proofErr w:type="spellStart"/>
      <w:r>
        <w:t>Satras</w:t>
      </w:r>
      <w:proofErr w:type="spellEnd"/>
      <w:r>
        <w:t xml:space="preserve"> and related community platforms.</w:t>
      </w:r>
    </w:p>
    <w:p w14:paraId="236ED18F" w14:textId="77777777" w:rsidR="007B536F" w:rsidRDefault="007B536F" w:rsidP="007B536F">
      <w:pPr>
        <w:pStyle w:val="my-2"/>
        <w:numPr>
          <w:ilvl w:val="0"/>
          <w:numId w:val="34"/>
        </w:numPr>
      </w:pPr>
      <w:r>
        <w:t>The association with a war dance or Dimasa coronations is historically unfounded and incorrect.</w:t>
      </w:r>
    </w:p>
    <w:p w14:paraId="6D6A23B4" w14:textId="77777777" w:rsidR="007B536F" w:rsidRDefault="007B536F" w:rsidP="007B536F">
      <w:pPr>
        <w:pStyle w:val="my-2"/>
        <w:numPr>
          <w:ilvl w:val="0"/>
          <w:numId w:val="35"/>
        </w:numPr>
      </w:pPr>
      <w:r>
        <w:t xml:space="preserve">In July 2025, Assam announced the GI-tagging of </w:t>
      </w:r>
      <w:proofErr w:type="spellStart"/>
      <w:r>
        <w:t>Kaji</w:t>
      </w:r>
      <w:proofErr w:type="spellEnd"/>
      <w:r>
        <w:t xml:space="preserve"> </w:t>
      </w:r>
      <w:proofErr w:type="spellStart"/>
      <w:r>
        <w:t>Nemu</w:t>
      </w:r>
      <w:proofErr w:type="spellEnd"/>
      <w:r>
        <w:t>. Which of the following best describes this product?</w:t>
      </w:r>
      <w:r>
        <w:br/>
        <w:t>(A) A traditional cottage silk variety</w:t>
      </w:r>
      <w:r>
        <w:br/>
        <w:t>(B) A highly aromatic lemon native to Assam, used in cuisine and medicine</w:t>
      </w:r>
      <w:r>
        <w:br/>
        <w:t>(C) A variety of black rice cultivated in Upper Assam</w:t>
      </w:r>
      <w:r>
        <w:br/>
        <w:t>(D) A fossil type preserved in Garo Hills</w:t>
      </w:r>
    </w:p>
    <w:p w14:paraId="1BE8988B" w14:textId="77777777" w:rsidR="007B536F" w:rsidRDefault="007B536F" w:rsidP="007B536F">
      <w:pPr>
        <w:pStyle w:val="my-2"/>
      </w:pPr>
      <w:r>
        <w:t>Answer 5. (B) A highly aromatic lemon native to Assam, used in cuisine and medicine</w:t>
      </w:r>
    </w:p>
    <w:p w14:paraId="4530D28E" w14:textId="77777777" w:rsidR="007B536F" w:rsidRDefault="007B536F" w:rsidP="007B536F">
      <w:pPr>
        <w:pStyle w:val="my-2"/>
      </w:pPr>
      <w:r>
        <w:t>Explanation:</w:t>
      </w:r>
    </w:p>
    <w:p w14:paraId="7D0A650D" w14:textId="77777777" w:rsidR="007B536F" w:rsidRDefault="007B536F" w:rsidP="007B536F">
      <w:pPr>
        <w:pStyle w:val="my-2"/>
        <w:numPr>
          <w:ilvl w:val="0"/>
          <w:numId w:val="36"/>
        </w:numPr>
      </w:pPr>
      <w:proofErr w:type="spellStart"/>
      <w:r>
        <w:t>Kaji</w:t>
      </w:r>
      <w:proofErr w:type="spellEnd"/>
      <w:r>
        <w:t xml:space="preserve"> </w:t>
      </w:r>
      <w:proofErr w:type="spellStart"/>
      <w:r>
        <w:t>Nemu</w:t>
      </w:r>
      <w:proofErr w:type="spellEnd"/>
      <w:r>
        <w:t xml:space="preserve"> is a well-known variety of lemon from Assam, regarded for its aroma, juiciness, and culinary, as well as medicinal, applications.</w:t>
      </w:r>
    </w:p>
    <w:p w14:paraId="12D3B144" w14:textId="77777777" w:rsidR="007B536F" w:rsidRDefault="007B536F" w:rsidP="007B536F">
      <w:pPr>
        <w:pStyle w:val="my-2"/>
        <w:numPr>
          <w:ilvl w:val="0"/>
          <w:numId w:val="36"/>
        </w:numPr>
      </w:pPr>
      <w:r>
        <w:t>The GI tag supports its market identity, ensuring quality and regional authenticity.</w:t>
      </w:r>
    </w:p>
    <w:p w14:paraId="5E4435D3" w14:textId="77777777" w:rsidR="007B536F" w:rsidRDefault="007B536F" w:rsidP="007B536F">
      <w:pPr>
        <w:pStyle w:val="my-2"/>
        <w:numPr>
          <w:ilvl w:val="0"/>
          <w:numId w:val="36"/>
        </w:numPr>
      </w:pPr>
      <w:r>
        <w:t>It is neither a silk, rice, nor paleontological specimen.</w:t>
      </w:r>
    </w:p>
    <w:p w14:paraId="79D1BB5D" w14:textId="77777777" w:rsidR="007B536F" w:rsidRDefault="007B536F" w:rsidP="007B536F">
      <w:pPr>
        <w:pStyle w:val="my-2"/>
        <w:numPr>
          <w:ilvl w:val="0"/>
          <w:numId w:val="37"/>
        </w:numPr>
      </w:pPr>
      <w:r>
        <w:t>In July 2025, the Assam government inaugurated India’s longest river ropeway across which river?</w:t>
      </w:r>
      <w:r>
        <w:br/>
        <w:t xml:space="preserve">(A) </w:t>
      </w:r>
      <w:proofErr w:type="spellStart"/>
      <w:r>
        <w:t>Subansiri</w:t>
      </w:r>
      <w:proofErr w:type="spellEnd"/>
      <w:r>
        <w:br/>
      </w:r>
      <w:r>
        <w:lastRenderedPageBreak/>
        <w:t>(B) Barak</w:t>
      </w:r>
      <w:r>
        <w:br/>
        <w:t xml:space="preserve">(C) </w:t>
      </w:r>
      <w:proofErr w:type="spellStart"/>
      <w:r>
        <w:t>Kopili</w:t>
      </w:r>
      <w:proofErr w:type="spellEnd"/>
      <w:r>
        <w:br/>
        <w:t>(D) Brahmaputra</w:t>
      </w:r>
    </w:p>
    <w:p w14:paraId="7E0DC535" w14:textId="77777777" w:rsidR="007B536F" w:rsidRDefault="007B536F" w:rsidP="007B536F">
      <w:pPr>
        <w:pStyle w:val="my-2"/>
      </w:pPr>
      <w:r>
        <w:t>Answer 6. (D) Brahmaputra</w:t>
      </w:r>
    </w:p>
    <w:p w14:paraId="71538E24" w14:textId="77777777" w:rsidR="007B536F" w:rsidRDefault="007B536F" w:rsidP="007B536F">
      <w:pPr>
        <w:pStyle w:val="my-2"/>
      </w:pPr>
      <w:r>
        <w:t>Explanation:</w:t>
      </w:r>
    </w:p>
    <w:p w14:paraId="2D810014" w14:textId="77777777" w:rsidR="007B536F" w:rsidRDefault="007B536F" w:rsidP="007B536F">
      <w:pPr>
        <w:pStyle w:val="my-2"/>
        <w:numPr>
          <w:ilvl w:val="0"/>
          <w:numId w:val="38"/>
        </w:numPr>
      </w:pPr>
      <w:r>
        <w:t>India’s longest river ropeway currently and recently inaugurated spans the Brahmaputra River between Guwahati and North Guwahati.</w:t>
      </w:r>
    </w:p>
    <w:p w14:paraId="48ECC2A0" w14:textId="77777777" w:rsidR="007B536F" w:rsidRDefault="007B536F" w:rsidP="007B536F">
      <w:pPr>
        <w:pStyle w:val="my-2"/>
        <w:numPr>
          <w:ilvl w:val="0"/>
          <w:numId w:val="38"/>
        </w:numPr>
      </w:pPr>
      <w:r>
        <w:t>The project boosts urban connectivity, tourism, and commuter convenience in Assam’s riverine context.</w:t>
      </w:r>
    </w:p>
    <w:p w14:paraId="3DF35947" w14:textId="77777777" w:rsidR="007B536F" w:rsidRDefault="007B536F" w:rsidP="007B536F">
      <w:pPr>
        <w:pStyle w:val="my-2"/>
        <w:numPr>
          <w:ilvl w:val="0"/>
          <w:numId w:val="39"/>
        </w:numPr>
      </w:pPr>
      <w:r>
        <w:t>In February 2025, Assam’s Bihu dance was showcased in the Republic Day parade, claiming a Guinness World Record as the largest group folk dance. Which community is considered the originator of Bihu?</w:t>
      </w:r>
      <w:r>
        <w:br/>
        <w:t>(A) Tai-</w:t>
      </w:r>
      <w:proofErr w:type="spellStart"/>
      <w:r>
        <w:t>Ahoms</w:t>
      </w:r>
      <w:proofErr w:type="spellEnd"/>
      <w:r>
        <w:br/>
        <w:t>(B) Moran</w:t>
      </w:r>
      <w:r>
        <w:br/>
        <w:t>(C) Dimasa</w:t>
      </w:r>
      <w:r>
        <w:br/>
        <w:t xml:space="preserve">(D) </w:t>
      </w:r>
      <w:proofErr w:type="spellStart"/>
      <w:r>
        <w:t>Mising</w:t>
      </w:r>
      <w:proofErr w:type="spellEnd"/>
    </w:p>
    <w:p w14:paraId="3BB4DAE0" w14:textId="77777777" w:rsidR="007B536F" w:rsidRDefault="007B536F" w:rsidP="007B536F">
      <w:pPr>
        <w:pStyle w:val="my-2"/>
      </w:pPr>
      <w:r>
        <w:t>Answer 7. (B) Moran</w:t>
      </w:r>
    </w:p>
    <w:p w14:paraId="243D944D" w14:textId="77777777" w:rsidR="007B536F" w:rsidRDefault="007B536F" w:rsidP="007B536F">
      <w:pPr>
        <w:pStyle w:val="my-2"/>
      </w:pPr>
      <w:r>
        <w:t>Explanation:</w:t>
      </w:r>
    </w:p>
    <w:p w14:paraId="696F080A" w14:textId="77777777" w:rsidR="007B536F" w:rsidRDefault="007B536F" w:rsidP="007B536F">
      <w:pPr>
        <w:pStyle w:val="my-2"/>
        <w:numPr>
          <w:ilvl w:val="0"/>
          <w:numId w:val="40"/>
        </w:numPr>
      </w:pPr>
      <w:r>
        <w:t>While Bihu is celebrated by almost all Assamese communities, historical and ethnographic sources often link its origin particularly to the Moran ethnic group.</w:t>
      </w:r>
    </w:p>
    <w:p w14:paraId="63945F11" w14:textId="77777777" w:rsidR="007B536F" w:rsidRDefault="007B536F" w:rsidP="007B536F">
      <w:pPr>
        <w:pStyle w:val="my-2"/>
        <w:numPr>
          <w:ilvl w:val="0"/>
          <w:numId w:val="40"/>
        </w:numPr>
      </w:pPr>
      <w:r>
        <w:t>The performance reflects agricultural/ecological themes rooted in indigenous traditions, later adopted and expanded as a pan-Assamese festival.</w:t>
      </w:r>
    </w:p>
    <w:p w14:paraId="4E0FFD8B" w14:textId="77777777" w:rsidR="007B536F" w:rsidRDefault="007B536F" w:rsidP="007B536F">
      <w:pPr>
        <w:pStyle w:val="my-2"/>
        <w:numPr>
          <w:ilvl w:val="0"/>
          <w:numId w:val="41"/>
        </w:numPr>
      </w:pPr>
      <w:r>
        <w:t xml:space="preserve">The </w:t>
      </w:r>
      <w:proofErr w:type="spellStart"/>
      <w:r>
        <w:t>Singpho</w:t>
      </w:r>
      <w:proofErr w:type="spellEnd"/>
      <w:r>
        <w:t xml:space="preserve"> tribe is traditionally known for their role in tea culture. Consider the following statements:</w:t>
      </w:r>
      <w:r>
        <w:br/>
        <w:t>(</w:t>
      </w:r>
      <w:proofErr w:type="spellStart"/>
      <w:r>
        <w:t>i</w:t>
      </w:r>
      <w:proofErr w:type="spellEnd"/>
      <w:r>
        <w:t xml:space="preserve">) The </w:t>
      </w:r>
      <w:proofErr w:type="spellStart"/>
      <w:r>
        <w:t>Singphos</w:t>
      </w:r>
      <w:proofErr w:type="spellEnd"/>
      <w:r>
        <w:t xml:space="preserve"> introduced tea cultivation in Assam by sharing knowledge with the British.</w:t>
      </w:r>
      <w:r>
        <w:br/>
        <w:t>(ii) They are ethnically linked to the Kachin tribe of Myanmar.</w:t>
      </w:r>
      <w:r>
        <w:br/>
        <w:t xml:space="preserve">(iii) The </w:t>
      </w:r>
      <w:proofErr w:type="spellStart"/>
      <w:r>
        <w:t>Singphos</w:t>
      </w:r>
      <w:proofErr w:type="spellEnd"/>
      <w:r>
        <w:t xml:space="preserve"> practice shifting cultivation and are concentrated in Tinsukia district.</w:t>
      </w:r>
      <w:r>
        <w:br/>
        <w:t>(iv) Their language belongs to the Austro-Asiatic language family.</w:t>
      </w:r>
      <w:r>
        <w:br/>
        <w:t>Which of the statements is/are not correct?</w:t>
      </w:r>
      <w:r>
        <w:br/>
        <w:t>(A) (iv) only</w:t>
      </w:r>
      <w:r>
        <w:br/>
        <w:t>(B) (ii) and (iii) only</w:t>
      </w:r>
      <w:r>
        <w:br/>
        <w:t>(C) (</w:t>
      </w:r>
      <w:proofErr w:type="spellStart"/>
      <w:r>
        <w:t>i</w:t>
      </w:r>
      <w:proofErr w:type="spellEnd"/>
      <w:r>
        <w:t>) and (iv) only</w:t>
      </w:r>
      <w:r>
        <w:br/>
        <w:t>(D) (ii) only</w:t>
      </w:r>
    </w:p>
    <w:p w14:paraId="567EACB0" w14:textId="77777777" w:rsidR="007B536F" w:rsidRDefault="007B536F" w:rsidP="007B536F">
      <w:pPr>
        <w:pStyle w:val="my-2"/>
      </w:pPr>
      <w:r>
        <w:t>Answer 8. (A) (iv) only</w:t>
      </w:r>
    </w:p>
    <w:p w14:paraId="54B3CB0E" w14:textId="77777777" w:rsidR="007B536F" w:rsidRDefault="007B536F" w:rsidP="007B536F">
      <w:pPr>
        <w:pStyle w:val="my-2"/>
      </w:pPr>
      <w:r>
        <w:t>Explanation:</w:t>
      </w:r>
    </w:p>
    <w:p w14:paraId="1081C03D" w14:textId="77777777" w:rsidR="007B536F" w:rsidRDefault="007B536F" w:rsidP="007B536F">
      <w:pPr>
        <w:pStyle w:val="my-2"/>
        <w:numPr>
          <w:ilvl w:val="0"/>
          <w:numId w:val="42"/>
        </w:numPr>
      </w:pPr>
      <w:r>
        <w:t xml:space="preserve">The </w:t>
      </w:r>
      <w:proofErr w:type="spellStart"/>
      <w:r>
        <w:t>Singphos</w:t>
      </w:r>
      <w:proofErr w:type="spellEnd"/>
      <w:r>
        <w:t xml:space="preserve"> were instrumental in introducing the British to tea cultivation in Assam, with tea knowledge passing from indigenous practice.</w:t>
      </w:r>
    </w:p>
    <w:p w14:paraId="5CB8AA11" w14:textId="77777777" w:rsidR="007B536F" w:rsidRDefault="007B536F" w:rsidP="007B536F">
      <w:pPr>
        <w:pStyle w:val="my-2"/>
        <w:numPr>
          <w:ilvl w:val="0"/>
          <w:numId w:val="42"/>
        </w:numPr>
      </w:pPr>
      <w:r>
        <w:lastRenderedPageBreak/>
        <w:t>They are ethnically related to the Kachin people of Myanmar and practice shifting cultivation (jhum), mostly in Assam's Tinsukia region.</w:t>
      </w:r>
    </w:p>
    <w:p w14:paraId="33613A13" w14:textId="77777777" w:rsidR="007B536F" w:rsidRDefault="007B536F" w:rsidP="007B536F">
      <w:pPr>
        <w:pStyle w:val="my-2"/>
        <w:numPr>
          <w:ilvl w:val="0"/>
          <w:numId w:val="42"/>
        </w:numPr>
      </w:pPr>
      <w:r>
        <w:t>Their language is actually classified under the Tibeto-Burman family, not Austro-Asiatic, making statement (iv) incorrect.</w:t>
      </w:r>
    </w:p>
    <w:p w14:paraId="33FDB3F5" w14:textId="77777777" w:rsidR="007B536F" w:rsidRDefault="007B536F" w:rsidP="007B536F">
      <w:pPr>
        <w:pStyle w:val="my-2"/>
        <w:numPr>
          <w:ilvl w:val="0"/>
          <w:numId w:val="43"/>
        </w:numPr>
      </w:pPr>
      <w:r>
        <w:t>The Perform, Achieve and Trade (PAT) mechanism and the Renewable Energy Certificates (REC) mechanism are:</w:t>
      </w:r>
      <w:r>
        <w:br/>
        <w:t>Statement 1: Both PAT and REC mechanisms are market-based instruments promoting responsible energy use.</w:t>
      </w:r>
      <w:r>
        <w:br/>
        <w:t>Statement 2: PAT deals with energy efficiency while REC is about renewable energy generation.</w:t>
      </w:r>
      <w:r>
        <w:br/>
        <w:t>Statement 3: Both mechanisms are implemented under the Ministry of Power.</w:t>
      </w:r>
      <w:r>
        <w:br/>
        <w:t xml:space="preserve">Statement 4: Only PAT certificates can be traded on power exchanges in India, not </w:t>
      </w:r>
      <w:proofErr w:type="spellStart"/>
      <w:r>
        <w:t>RECs.</w:t>
      </w:r>
      <w:proofErr w:type="spellEnd"/>
      <w:r>
        <w:br/>
        <w:t>Which of the above statements are correct?</w:t>
      </w:r>
      <w:r>
        <w:br/>
        <w:t>(A) 1, 2 and 3 only</w:t>
      </w:r>
      <w:r>
        <w:br/>
        <w:t>(B) 1 and 4 only</w:t>
      </w:r>
      <w:r>
        <w:br/>
        <w:t>(C) 2, 3 and 4 only</w:t>
      </w:r>
      <w:r>
        <w:br/>
        <w:t>(D) 1, 2, 3 and 4</w:t>
      </w:r>
    </w:p>
    <w:p w14:paraId="26ED9BAB" w14:textId="77777777" w:rsidR="007B536F" w:rsidRDefault="007B536F" w:rsidP="007B536F">
      <w:pPr>
        <w:pStyle w:val="my-2"/>
      </w:pPr>
      <w:r>
        <w:t>Answer 9. (A) 1, 2 and 3 only</w:t>
      </w:r>
    </w:p>
    <w:p w14:paraId="0479A48D" w14:textId="77777777" w:rsidR="007B536F" w:rsidRDefault="007B536F" w:rsidP="007B536F">
      <w:pPr>
        <w:pStyle w:val="my-2"/>
      </w:pPr>
      <w:r>
        <w:t>Explanation:</w:t>
      </w:r>
    </w:p>
    <w:p w14:paraId="49AA55E4" w14:textId="77777777" w:rsidR="007B536F" w:rsidRDefault="007B536F" w:rsidP="007B536F">
      <w:pPr>
        <w:pStyle w:val="my-2"/>
        <w:numPr>
          <w:ilvl w:val="0"/>
          <w:numId w:val="44"/>
        </w:numPr>
      </w:pPr>
      <w:r>
        <w:t>Both mechanisms are market-based and incentivize efficient and renewable energy use, helping in meeting the nation’s energy and climate objectives.</w:t>
      </w:r>
    </w:p>
    <w:p w14:paraId="26ADED29" w14:textId="77777777" w:rsidR="007B536F" w:rsidRDefault="007B536F" w:rsidP="007B536F">
      <w:pPr>
        <w:pStyle w:val="my-2"/>
        <w:numPr>
          <w:ilvl w:val="0"/>
          <w:numId w:val="44"/>
        </w:numPr>
      </w:pPr>
      <w:r>
        <w:t>PAT is focused on large energy-consuming industries, targeting specific energy-saving metrics, while REC is a clean energy trading mechanism.</w:t>
      </w:r>
    </w:p>
    <w:p w14:paraId="797015DB" w14:textId="77777777" w:rsidR="007B536F" w:rsidRDefault="007B536F" w:rsidP="007B536F">
      <w:pPr>
        <w:pStyle w:val="my-2"/>
        <w:numPr>
          <w:ilvl w:val="0"/>
          <w:numId w:val="44"/>
        </w:numPr>
      </w:pPr>
      <w:r>
        <w:t>Both operate under the purview of the Ministry of Power and its agencies.</w:t>
      </w:r>
    </w:p>
    <w:p w14:paraId="5C037C33" w14:textId="77777777" w:rsidR="007B536F" w:rsidRDefault="007B536F" w:rsidP="007B536F">
      <w:pPr>
        <w:pStyle w:val="my-2"/>
        <w:numPr>
          <w:ilvl w:val="0"/>
          <w:numId w:val="44"/>
        </w:numPr>
      </w:pPr>
      <w:r>
        <w:t>Contrary to statement 4, both PAT and REC certificates can be traded on Indian power exchanges.</w:t>
      </w:r>
    </w:p>
    <w:p w14:paraId="0CC0A44C" w14:textId="77777777" w:rsidR="007B536F" w:rsidRDefault="007B536F" w:rsidP="007B536F">
      <w:pPr>
        <w:pStyle w:val="my-2"/>
        <w:numPr>
          <w:ilvl w:val="0"/>
          <w:numId w:val="45"/>
        </w:numPr>
      </w:pPr>
      <w:r>
        <w:t>The International Health Regulations (IHR-2005) are legally binding on WHO member states. Consider:</w:t>
      </w:r>
      <w:r>
        <w:br/>
        <w:t>Statement 1: IHR-2005 requires member states to develop core public health capacities for surveillance and response.</w:t>
      </w:r>
      <w:r>
        <w:br/>
        <w:t>Statement 2: India has designated NCDC as the focal point for IHR implementations.</w:t>
      </w:r>
      <w:r>
        <w:br/>
        <w:t>Statement 3: All public health emergencies of international concern (PHEIC) are declared jointly by WHO and the UN General Assembly.</w:t>
      </w:r>
      <w:r>
        <w:br/>
        <w:t>Statement 4: COVID-19 was declared a PHEIC under IHR mechanisms.</w:t>
      </w:r>
      <w:r>
        <w:br/>
        <w:t>Which of the above statements are correct?</w:t>
      </w:r>
      <w:r>
        <w:br/>
        <w:t>(A) 1, 2 and 4 only</w:t>
      </w:r>
      <w:r>
        <w:br/>
        <w:t>(B) 1 and 3 only</w:t>
      </w:r>
      <w:r>
        <w:br/>
        <w:t>(C) 2, 3 and 4 only</w:t>
      </w:r>
      <w:r>
        <w:br/>
        <w:t>(D) 1, 2, 3 and 4</w:t>
      </w:r>
    </w:p>
    <w:p w14:paraId="556B9D13" w14:textId="77777777" w:rsidR="007B536F" w:rsidRDefault="007B536F" w:rsidP="007B536F">
      <w:pPr>
        <w:pStyle w:val="my-2"/>
      </w:pPr>
      <w:r>
        <w:t>Answer 10. (A) 1, 2 and 4 only</w:t>
      </w:r>
    </w:p>
    <w:p w14:paraId="1C75B4DA" w14:textId="77777777" w:rsidR="007B536F" w:rsidRDefault="007B536F" w:rsidP="007B536F">
      <w:pPr>
        <w:pStyle w:val="my-2"/>
      </w:pPr>
      <w:r>
        <w:t>Explanation:</w:t>
      </w:r>
    </w:p>
    <w:p w14:paraId="6AA7C597" w14:textId="77777777" w:rsidR="007B536F" w:rsidRDefault="007B536F" w:rsidP="007B536F">
      <w:pPr>
        <w:pStyle w:val="my-2"/>
        <w:numPr>
          <w:ilvl w:val="0"/>
          <w:numId w:val="46"/>
        </w:numPr>
      </w:pPr>
      <w:r>
        <w:lastRenderedPageBreak/>
        <w:t>IHR-2005 obligates member states to build core health capacities for early detection and management of disease threats.</w:t>
      </w:r>
    </w:p>
    <w:p w14:paraId="41542D1D" w14:textId="77777777" w:rsidR="007B536F" w:rsidRDefault="007B536F" w:rsidP="007B536F">
      <w:pPr>
        <w:pStyle w:val="my-2"/>
        <w:numPr>
          <w:ilvl w:val="0"/>
          <w:numId w:val="46"/>
        </w:numPr>
      </w:pPr>
      <w:r>
        <w:t>National Centre for Disease Control (NCDC) serves as India’s designated focal point for international health coordination under IHR.</w:t>
      </w:r>
    </w:p>
    <w:p w14:paraId="555383A8" w14:textId="77777777" w:rsidR="007B536F" w:rsidRDefault="007B536F" w:rsidP="007B536F">
      <w:pPr>
        <w:pStyle w:val="my-2"/>
        <w:numPr>
          <w:ilvl w:val="0"/>
          <w:numId w:val="46"/>
        </w:numPr>
      </w:pPr>
      <w:r>
        <w:t>PHEIC declarations are made by the WHO Director-General with expert advice, not by the UN General Assembly, making statement 3 incorrect.</w:t>
      </w:r>
    </w:p>
    <w:p w14:paraId="7FEEA0DD" w14:textId="77777777" w:rsidR="007B536F" w:rsidRDefault="007B536F" w:rsidP="007B536F">
      <w:pPr>
        <w:pStyle w:val="my-2"/>
        <w:numPr>
          <w:ilvl w:val="0"/>
          <w:numId w:val="46"/>
        </w:numPr>
      </w:pPr>
      <w:r>
        <w:t>COVID-19 was officially declared a PHEIC under IHR guidelines before being labelled a pandemic.</w:t>
      </w:r>
    </w:p>
    <w:p w14:paraId="24057514" w14:textId="77777777" w:rsidR="00791C36" w:rsidRPr="00573738" w:rsidRDefault="00791C36" w:rsidP="00573738"/>
    <w:sectPr w:rsidR="00791C36" w:rsidRPr="0057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4"/>
  </w:num>
  <w:num w:numId="2" w16cid:durableId="1531408747">
    <w:abstractNumId w:val="29"/>
  </w:num>
  <w:num w:numId="3" w16cid:durableId="824709411">
    <w:abstractNumId w:val="30"/>
  </w:num>
  <w:num w:numId="4" w16cid:durableId="2050840967">
    <w:abstractNumId w:val="18"/>
  </w:num>
  <w:num w:numId="5" w16cid:durableId="1320042157">
    <w:abstractNumId w:val="44"/>
  </w:num>
  <w:num w:numId="6" w16cid:durableId="1784227935">
    <w:abstractNumId w:val="1"/>
  </w:num>
  <w:num w:numId="7" w16cid:durableId="1854418723">
    <w:abstractNumId w:val="10"/>
  </w:num>
  <w:num w:numId="8" w16cid:durableId="800803484">
    <w:abstractNumId w:val="45"/>
  </w:num>
  <w:num w:numId="9" w16cid:durableId="634987443">
    <w:abstractNumId w:val="13"/>
  </w:num>
  <w:num w:numId="10" w16cid:durableId="1598564450">
    <w:abstractNumId w:val="22"/>
  </w:num>
  <w:num w:numId="11" w16cid:durableId="1801804755">
    <w:abstractNumId w:val="41"/>
  </w:num>
  <w:num w:numId="12" w16cid:durableId="590047435">
    <w:abstractNumId w:val="3"/>
  </w:num>
  <w:num w:numId="13" w16cid:durableId="17394187">
    <w:abstractNumId w:val="0"/>
  </w:num>
  <w:num w:numId="14" w16cid:durableId="994530085">
    <w:abstractNumId w:val="42"/>
  </w:num>
  <w:num w:numId="15" w16cid:durableId="608659609">
    <w:abstractNumId w:val="6"/>
  </w:num>
  <w:num w:numId="16" w16cid:durableId="1579750062">
    <w:abstractNumId w:val="11"/>
  </w:num>
  <w:num w:numId="17" w16cid:durableId="287275873">
    <w:abstractNumId w:val="27"/>
  </w:num>
  <w:num w:numId="18" w16cid:durableId="1878347707">
    <w:abstractNumId w:val="12"/>
  </w:num>
  <w:num w:numId="19" w16cid:durableId="312375827">
    <w:abstractNumId w:val="2"/>
  </w:num>
  <w:num w:numId="20" w16cid:durableId="1698579145">
    <w:abstractNumId w:val="43"/>
  </w:num>
  <w:num w:numId="21" w16cid:durableId="1098059285">
    <w:abstractNumId w:val="33"/>
  </w:num>
  <w:num w:numId="22" w16cid:durableId="7947756">
    <w:abstractNumId w:val="39"/>
  </w:num>
  <w:num w:numId="23" w16cid:durableId="584799955">
    <w:abstractNumId w:val="23"/>
  </w:num>
  <w:num w:numId="24" w16cid:durableId="1356465250">
    <w:abstractNumId w:val="21"/>
  </w:num>
  <w:num w:numId="25" w16cid:durableId="1375540775">
    <w:abstractNumId w:val="26"/>
  </w:num>
  <w:num w:numId="26" w16cid:durableId="1080715282">
    <w:abstractNumId w:val="8"/>
  </w:num>
  <w:num w:numId="27" w16cid:durableId="470094279">
    <w:abstractNumId w:val="9"/>
  </w:num>
  <w:num w:numId="28" w16cid:durableId="643856065">
    <w:abstractNumId w:val="38"/>
  </w:num>
  <w:num w:numId="29" w16cid:durableId="190341212">
    <w:abstractNumId w:val="19"/>
  </w:num>
  <w:num w:numId="30" w16cid:durableId="1699041279">
    <w:abstractNumId w:val="28"/>
  </w:num>
  <w:num w:numId="31" w16cid:durableId="569004743">
    <w:abstractNumId w:val="40"/>
  </w:num>
  <w:num w:numId="32" w16cid:durableId="1709645622">
    <w:abstractNumId w:val="36"/>
  </w:num>
  <w:num w:numId="33" w16cid:durableId="601644017">
    <w:abstractNumId w:val="35"/>
  </w:num>
  <w:num w:numId="34" w16cid:durableId="1706254214">
    <w:abstractNumId w:val="34"/>
  </w:num>
  <w:num w:numId="35" w16cid:durableId="1844972853">
    <w:abstractNumId w:val="17"/>
  </w:num>
  <w:num w:numId="36" w16cid:durableId="1260215104">
    <w:abstractNumId w:val="20"/>
  </w:num>
  <w:num w:numId="37" w16cid:durableId="1885946112">
    <w:abstractNumId w:val="24"/>
  </w:num>
  <w:num w:numId="38" w16cid:durableId="1750273579">
    <w:abstractNumId w:val="16"/>
  </w:num>
  <w:num w:numId="39" w16cid:durableId="974139652">
    <w:abstractNumId w:val="25"/>
  </w:num>
  <w:num w:numId="40" w16cid:durableId="827215179">
    <w:abstractNumId w:val="5"/>
  </w:num>
  <w:num w:numId="41" w16cid:durableId="6637282">
    <w:abstractNumId w:val="7"/>
  </w:num>
  <w:num w:numId="42" w16cid:durableId="2133471917">
    <w:abstractNumId w:val="31"/>
  </w:num>
  <w:num w:numId="43" w16cid:durableId="1232697144">
    <w:abstractNumId w:val="15"/>
  </w:num>
  <w:num w:numId="44" w16cid:durableId="14428269">
    <w:abstractNumId w:val="37"/>
  </w:num>
  <w:num w:numId="45" w16cid:durableId="628587359">
    <w:abstractNumId w:val="4"/>
  </w:num>
  <w:num w:numId="46" w16cid:durableId="7630404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573738"/>
    <w:rsid w:val="005B5164"/>
    <w:rsid w:val="005D25D4"/>
    <w:rsid w:val="00696436"/>
    <w:rsid w:val="0070514E"/>
    <w:rsid w:val="00774BF2"/>
    <w:rsid w:val="00791C36"/>
    <w:rsid w:val="007B536F"/>
    <w:rsid w:val="00922037"/>
    <w:rsid w:val="009B420B"/>
    <w:rsid w:val="00A92479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</cp:lastModifiedBy>
  <cp:revision>12</cp:revision>
  <dcterms:created xsi:type="dcterms:W3CDTF">2025-04-06T17:03:00Z</dcterms:created>
  <dcterms:modified xsi:type="dcterms:W3CDTF">2025-08-26T08:24:00Z</dcterms:modified>
</cp:coreProperties>
</file>