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E9F35" w14:textId="77777777" w:rsidR="003166F7" w:rsidRPr="003166F7" w:rsidRDefault="003166F7" w:rsidP="003166F7">
      <w:pPr>
        <w:numPr>
          <w:ilvl w:val="0"/>
          <w:numId w:val="41"/>
        </w:numPr>
      </w:pPr>
      <w:r w:rsidRPr="003166F7">
        <w:t>The Primarily Millet Development Programme in India aims to:</w:t>
      </w:r>
      <w:r w:rsidRPr="003166F7">
        <w:br/>
        <w:t>(</w:t>
      </w:r>
      <w:proofErr w:type="spellStart"/>
      <w:r w:rsidRPr="003166F7">
        <w:t>i</w:t>
      </w:r>
      <w:proofErr w:type="spellEnd"/>
      <w:r w:rsidRPr="003166F7">
        <w:t>) Promote millets as climate-resilient crops</w:t>
      </w:r>
      <w:r w:rsidRPr="003166F7">
        <w:br/>
        <w:t>(ii) Enhance millets' market value</w:t>
      </w:r>
      <w:r w:rsidRPr="003166F7">
        <w:br/>
        <w:t>(iii) Subsidize wheat and rice production</w:t>
      </w:r>
      <w:r w:rsidRPr="003166F7">
        <w:br/>
        <w:t>(iv) Improve nutritional outcomes</w:t>
      </w:r>
      <w:r w:rsidRPr="003166F7">
        <w:br/>
        <w:t>Select the correct answer using the codes given below.</w:t>
      </w:r>
      <w:r w:rsidRPr="003166F7">
        <w:br/>
        <w:t>(A) (</w:t>
      </w:r>
      <w:proofErr w:type="spellStart"/>
      <w:r w:rsidRPr="003166F7">
        <w:t>i</w:t>
      </w:r>
      <w:proofErr w:type="spellEnd"/>
      <w:r w:rsidRPr="003166F7">
        <w:t>), (ii), and (iv) only</w:t>
      </w:r>
      <w:r w:rsidRPr="003166F7">
        <w:br/>
        <w:t>(B) (ii) and (iii) only</w:t>
      </w:r>
      <w:r w:rsidRPr="003166F7">
        <w:br/>
        <w:t>(C) (</w:t>
      </w:r>
      <w:proofErr w:type="spellStart"/>
      <w:r w:rsidRPr="003166F7">
        <w:t>i</w:t>
      </w:r>
      <w:proofErr w:type="spellEnd"/>
      <w:r w:rsidRPr="003166F7">
        <w:t>) and (iii) only</w:t>
      </w:r>
      <w:r w:rsidRPr="003166F7">
        <w:br/>
        <w:t>(D) All of the above</w:t>
      </w:r>
    </w:p>
    <w:p w14:paraId="418E9F1A" w14:textId="77777777" w:rsidR="003166F7" w:rsidRPr="003166F7" w:rsidRDefault="003166F7" w:rsidP="003166F7">
      <w:r w:rsidRPr="003166F7">
        <w:t>Answer 81. (A) (</w:t>
      </w:r>
      <w:proofErr w:type="spellStart"/>
      <w:r w:rsidRPr="003166F7">
        <w:t>i</w:t>
      </w:r>
      <w:proofErr w:type="spellEnd"/>
      <w:r w:rsidRPr="003166F7">
        <w:t>), (ii), and (iv) only</w:t>
      </w:r>
    </w:p>
    <w:p w14:paraId="177A8309" w14:textId="77777777" w:rsidR="003166F7" w:rsidRPr="003166F7" w:rsidRDefault="003166F7" w:rsidP="003166F7">
      <w:r w:rsidRPr="003166F7">
        <w:t>Explanation:</w:t>
      </w:r>
    </w:p>
    <w:p w14:paraId="5201BAE6" w14:textId="0418A5E1" w:rsidR="003166F7" w:rsidRPr="003166F7" w:rsidRDefault="003166F7" w:rsidP="003166F7">
      <w:pPr>
        <w:numPr>
          <w:ilvl w:val="0"/>
          <w:numId w:val="42"/>
        </w:numPr>
      </w:pPr>
      <w:r w:rsidRPr="003166F7">
        <w:t>The policy thrust around millet initiatives in India focuses on promoting millets as climate-resilient crops, improving post-harvest value addition and market linkages, and enhancing nutrition through inclusion in public programmes, not on subsidizing wheat and rice production.</w:t>
      </w:r>
      <w:r w:rsidR="0064164F" w:rsidRPr="003166F7">
        <w:t xml:space="preserve"> </w:t>
      </w:r>
    </w:p>
    <w:p w14:paraId="276BE019" w14:textId="53913D24" w:rsidR="003166F7" w:rsidRPr="003166F7" w:rsidRDefault="003166F7" w:rsidP="003166F7">
      <w:pPr>
        <w:numPr>
          <w:ilvl w:val="0"/>
          <w:numId w:val="42"/>
        </w:numPr>
      </w:pPr>
      <w:r w:rsidRPr="003166F7">
        <w:t>State and national documents emphasize market and nutrition-supportive production, value addition, and distribution in schemes such as mid-day meals and POSHAN linkages, aligning with (</w:t>
      </w:r>
      <w:proofErr w:type="spellStart"/>
      <w:r w:rsidRPr="003166F7">
        <w:t>i</w:t>
      </w:r>
      <w:proofErr w:type="spellEnd"/>
      <w:r w:rsidRPr="003166F7">
        <w:t>), (ii), and (iv) while excluding (iii).</w:t>
      </w:r>
      <w:r w:rsidR="0064164F" w:rsidRPr="003166F7">
        <w:t xml:space="preserve"> </w:t>
      </w:r>
    </w:p>
    <w:p w14:paraId="7080F10D" w14:textId="6AB0EC9C" w:rsidR="003166F7" w:rsidRPr="003166F7" w:rsidRDefault="003166F7" w:rsidP="003166F7">
      <w:pPr>
        <w:numPr>
          <w:ilvl w:val="0"/>
          <w:numId w:val="42"/>
        </w:numPr>
      </w:pPr>
      <w:r w:rsidRPr="003166F7">
        <w:t>Guidance from national reports frames millets around health, nutrition, and climate resilience, reinforcing objectives (</w:t>
      </w:r>
      <w:proofErr w:type="spellStart"/>
      <w:r w:rsidRPr="003166F7">
        <w:t>i</w:t>
      </w:r>
      <w:proofErr w:type="spellEnd"/>
      <w:r w:rsidRPr="003166F7">
        <w:t>), (ii), and (iv) rather than cereal subsidies for wheat/rice.</w:t>
      </w:r>
      <w:r w:rsidR="0064164F" w:rsidRPr="003166F7">
        <w:t xml:space="preserve"> </w:t>
      </w:r>
    </w:p>
    <w:p w14:paraId="1DAC74FD" w14:textId="77777777" w:rsidR="003166F7" w:rsidRPr="003166F7" w:rsidRDefault="003166F7" w:rsidP="003166F7">
      <w:pPr>
        <w:numPr>
          <w:ilvl w:val="0"/>
          <w:numId w:val="43"/>
        </w:numPr>
      </w:pPr>
      <w:r w:rsidRPr="003166F7">
        <w:t>Which of the following are key components of the Multidimensional Poverty Index (MPI)?</w:t>
      </w:r>
      <w:r w:rsidRPr="003166F7">
        <w:br/>
        <w:t>(A) Education, health, and living standards</w:t>
      </w:r>
      <w:r w:rsidRPr="003166F7">
        <w:br/>
        <w:t>(B) Income levels alone</w:t>
      </w:r>
      <w:r w:rsidRPr="003166F7">
        <w:br/>
        <w:t>(C) Nutritional status only</w:t>
      </w:r>
      <w:r w:rsidRPr="003166F7">
        <w:br/>
        <w:t>(D) Employment rates only</w:t>
      </w:r>
    </w:p>
    <w:p w14:paraId="7C10CBB9" w14:textId="77777777" w:rsidR="003166F7" w:rsidRPr="003166F7" w:rsidRDefault="003166F7" w:rsidP="003166F7">
      <w:r w:rsidRPr="003166F7">
        <w:t>Answer 82. (A) Education, health, and living standards</w:t>
      </w:r>
    </w:p>
    <w:p w14:paraId="2B6472CB" w14:textId="77777777" w:rsidR="003166F7" w:rsidRPr="003166F7" w:rsidRDefault="003166F7" w:rsidP="003166F7">
      <w:r w:rsidRPr="003166F7">
        <w:t>Explanation:</w:t>
      </w:r>
    </w:p>
    <w:p w14:paraId="47948F84" w14:textId="0A80E795" w:rsidR="003166F7" w:rsidRPr="003166F7" w:rsidRDefault="003166F7" w:rsidP="003166F7">
      <w:pPr>
        <w:numPr>
          <w:ilvl w:val="0"/>
          <w:numId w:val="44"/>
        </w:numPr>
      </w:pPr>
      <w:r w:rsidRPr="003166F7">
        <w:t>The global and national MPI measure simultaneous deprivations across three dimensions: health, education, and standard of living, not income alone.</w:t>
      </w:r>
      <w:r w:rsidR="0064164F" w:rsidRPr="003166F7">
        <w:t xml:space="preserve"> </w:t>
      </w:r>
    </w:p>
    <w:p w14:paraId="29529684" w14:textId="0395C1D8" w:rsidR="003166F7" w:rsidRPr="003166F7" w:rsidRDefault="003166F7" w:rsidP="003166F7">
      <w:pPr>
        <w:numPr>
          <w:ilvl w:val="0"/>
          <w:numId w:val="44"/>
        </w:numPr>
      </w:pPr>
      <w:r w:rsidRPr="003166F7">
        <w:t>Official profiles and methodological notes specify these three pillars, with multiple indicators under each dimension to capture acute poverty.</w:t>
      </w:r>
      <w:r w:rsidR="0064164F" w:rsidRPr="003166F7">
        <w:t xml:space="preserve"> </w:t>
      </w:r>
    </w:p>
    <w:p w14:paraId="60651E71" w14:textId="579084A6" w:rsidR="003166F7" w:rsidRPr="003166F7" w:rsidRDefault="003166F7" w:rsidP="003166F7">
      <w:pPr>
        <w:numPr>
          <w:ilvl w:val="0"/>
          <w:numId w:val="44"/>
        </w:numPr>
      </w:pPr>
      <w:r w:rsidRPr="003166F7">
        <w:t>Contemporary summaries consistently present the MPI triad as health, education, and living standards for cross-country and subnational analysis.</w:t>
      </w:r>
      <w:r w:rsidR="0064164F" w:rsidRPr="003166F7">
        <w:t xml:space="preserve"> </w:t>
      </w:r>
    </w:p>
    <w:p w14:paraId="224DC2BF" w14:textId="77777777" w:rsidR="003166F7" w:rsidRPr="003166F7" w:rsidRDefault="003166F7" w:rsidP="003166F7">
      <w:pPr>
        <w:numPr>
          <w:ilvl w:val="0"/>
          <w:numId w:val="45"/>
        </w:numPr>
      </w:pPr>
      <w:r w:rsidRPr="003166F7">
        <w:t>When was the Assam Public Service Commission established?</w:t>
      </w:r>
      <w:r w:rsidRPr="003166F7">
        <w:br/>
        <w:t>(A) 1937</w:t>
      </w:r>
      <w:r w:rsidRPr="003166F7">
        <w:br/>
        <w:t>(B) 1951</w:t>
      </w:r>
      <w:r w:rsidRPr="003166F7">
        <w:br/>
        <w:t>(C) 1947</w:t>
      </w:r>
      <w:r w:rsidRPr="003166F7">
        <w:br/>
        <w:t>(D) 1965</w:t>
      </w:r>
    </w:p>
    <w:p w14:paraId="1C34F03B" w14:textId="77777777" w:rsidR="003166F7" w:rsidRPr="003166F7" w:rsidRDefault="003166F7" w:rsidP="003166F7">
      <w:r w:rsidRPr="003166F7">
        <w:t>Answer 83. (A) 1937</w:t>
      </w:r>
    </w:p>
    <w:p w14:paraId="35F0CEEB" w14:textId="77777777" w:rsidR="003166F7" w:rsidRPr="003166F7" w:rsidRDefault="003166F7" w:rsidP="003166F7">
      <w:r w:rsidRPr="003166F7">
        <w:lastRenderedPageBreak/>
        <w:t>Explanation:</w:t>
      </w:r>
    </w:p>
    <w:p w14:paraId="723ECBC9" w14:textId="3ECED425" w:rsidR="003166F7" w:rsidRPr="003166F7" w:rsidRDefault="003166F7" w:rsidP="003166F7">
      <w:pPr>
        <w:numPr>
          <w:ilvl w:val="0"/>
          <w:numId w:val="46"/>
        </w:numPr>
      </w:pPr>
      <w:r w:rsidRPr="003166F7">
        <w:t>The Assam Public Service Commission was established on 1 April 1937 under provisions of the Government of India Act, 1935.</w:t>
      </w:r>
      <w:r w:rsidR="0064164F" w:rsidRPr="003166F7">
        <w:t xml:space="preserve"> </w:t>
      </w:r>
    </w:p>
    <w:p w14:paraId="6E1CC39F" w14:textId="7565F054" w:rsidR="003166F7" w:rsidRPr="003166F7" w:rsidRDefault="003166F7" w:rsidP="003166F7">
      <w:pPr>
        <w:numPr>
          <w:ilvl w:val="0"/>
          <w:numId w:val="46"/>
        </w:numPr>
      </w:pPr>
      <w:r w:rsidRPr="003166F7">
        <w:t>Multiple Assam-focused references corroborate the 1937 establishment year for APSC.</w:t>
      </w:r>
      <w:r w:rsidR="0064164F" w:rsidRPr="003166F7">
        <w:t xml:space="preserve"> </w:t>
      </w:r>
    </w:p>
    <w:p w14:paraId="6089904A" w14:textId="1FE5E359" w:rsidR="003166F7" w:rsidRPr="003166F7" w:rsidRDefault="003166F7" w:rsidP="003166F7">
      <w:pPr>
        <w:numPr>
          <w:ilvl w:val="0"/>
          <w:numId w:val="46"/>
        </w:numPr>
      </w:pPr>
      <w:r w:rsidRPr="003166F7">
        <w:t>Institutional histories list 1937 as the date of coming into existence, with later regulations framed in 1951 after the Republic era began.</w:t>
      </w:r>
      <w:r w:rsidR="0064164F" w:rsidRPr="003166F7">
        <w:t xml:space="preserve"> </w:t>
      </w:r>
    </w:p>
    <w:p w14:paraId="18714585" w14:textId="77777777" w:rsidR="003166F7" w:rsidRPr="003166F7" w:rsidRDefault="003166F7" w:rsidP="003166F7">
      <w:pPr>
        <w:numPr>
          <w:ilvl w:val="0"/>
          <w:numId w:val="47"/>
        </w:numPr>
      </w:pPr>
      <w:r w:rsidRPr="003166F7">
        <w:t>The “Integrated Power Development Scheme (IPDS)” aims to:</w:t>
      </w:r>
      <w:r w:rsidRPr="003166F7">
        <w:br/>
        <w:t>(A) Improve the urban power distribution network to reduce losses and ensure reliable supply</w:t>
      </w:r>
      <w:r w:rsidRPr="003166F7">
        <w:br/>
        <w:t>(B) Boost installation of rooftop solar panels</w:t>
      </w:r>
      <w:r w:rsidRPr="003166F7">
        <w:br/>
        <w:t>(C) Provide power subsidies to industrial consumers</w:t>
      </w:r>
      <w:r w:rsidRPr="003166F7">
        <w:br/>
        <w:t>(D) Develop electric charging infrastructure</w:t>
      </w:r>
    </w:p>
    <w:p w14:paraId="4C84C29A" w14:textId="77777777" w:rsidR="003166F7" w:rsidRPr="003166F7" w:rsidRDefault="003166F7" w:rsidP="003166F7">
      <w:r w:rsidRPr="003166F7">
        <w:t>Answer 84. (A) Improve the urban power distribution network to reduce losses and ensure reliable supply</w:t>
      </w:r>
    </w:p>
    <w:p w14:paraId="1C2A6C22" w14:textId="77777777" w:rsidR="003166F7" w:rsidRPr="003166F7" w:rsidRDefault="003166F7" w:rsidP="003166F7">
      <w:r w:rsidRPr="003166F7">
        <w:t>Explanation:</w:t>
      </w:r>
    </w:p>
    <w:p w14:paraId="22831431" w14:textId="1DDE437B" w:rsidR="003166F7" w:rsidRPr="003166F7" w:rsidRDefault="003166F7" w:rsidP="003166F7">
      <w:pPr>
        <w:numPr>
          <w:ilvl w:val="0"/>
          <w:numId w:val="48"/>
        </w:numPr>
      </w:pPr>
      <w:r w:rsidRPr="003166F7">
        <w:t>IPDS was notified in December 2014 to strengthen sub-transmission and distribution networks in urban areas and meter DTs/feeders/consumers, enabling reliable supply and loss reduction.</w:t>
      </w:r>
      <w:r w:rsidR="0064164F" w:rsidRPr="003166F7">
        <w:t xml:space="preserve"> </w:t>
      </w:r>
    </w:p>
    <w:p w14:paraId="19AA6C5A" w14:textId="27C8C804" w:rsidR="003166F7" w:rsidRPr="003166F7" w:rsidRDefault="003166F7" w:rsidP="003166F7">
      <w:pPr>
        <w:numPr>
          <w:ilvl w:val="0"/>
          <w:numId w:val="48"/>
        </w:numPr>
      </w:pPr>
      <w:r w:rsidRPr="003166F7">
        <w:t>Authoritative briefs highlight components like ERP/IT enablement, RT-DAS, and urban metering aimed at AT&amp;C loss reduction and 24x7 supply rather than generic subsidies or EV infrastructure.</w:t>
      </w:r>
      <w:r w:rsidR="0064164F" w:rsidRPr="003166F7">
        <w:t xml:space="preserve"> </w:t>
      </w:r>
    </w:p>
    <w:p w14:paraId="3A0B7649" w14:textId="0C2B07BF" w:rsidR="003166F7" w:rsidRPr="003166F7" w:rsidRDefault="003166F7" w:rsidP="003166F7">
      <w:pPr>
        <w:numPr>
          <w:ilvl w:val="0"/>
          <w:numId w:val="48"/>
        </w:numPr>
      </w:pPr>
      <w:r w:rsidRPr="003166F7">
        <w:t>Official and explanatory sources reiterate urban network strengthening and metering as core objectives, which directly support reliable power and efficiency.</w:t>
      </w:r>
      <w:r w:rsidR="0064164F" w:rsidRPr="003166F7">
        <w:t xml:space="preserve"> </w:t>
      </w:r>
    </w:p>
    <w:p w14:paraId="64C5B432" w14:textId="77777777" w:rsidR="003166F7" w:rsidRPr="003166F7" w:rsidRDefault="003166F7" w:rsidP="003166F7">
      <w:pPr>
        <w:numPr>
          <w:ilvl w:val="0"/>
          <w:numId w:val="49"/>
        </w:numPr>
      </w:pPr>
      <w:r w:rsidRPr="003166F7">
        <w:t>James A. Robinson’s major work contributes to:</w:t>
      </w:r>
      <w:r w:rsidRPr="003166F7">
        <w:br/>
        <w:t>(A) Understanding democratic transitions and political economy</w:t>
      </w:r>
      <w:r w:rsidRPr="003166F7">
        <w:br/>
        <w:t>(B) Developing behavioural economics models</w:t>
      </w:r>
      <w:r w:rsidRPr="003166F7">
        <w:br/>
        <w:t>(C) Trade and globalization studies</w:t>
      </w:r>
      <w:r w:rsidRPr="003166F7">
        <w:br/>
        <w:t>(D) Health economics</w:t>
      </w:r>
    </w:p>
    <w:p w14:paraId="0F9ECEAA" w14:textId="77777777" w:rsidR="003166F7" w:rsidRPr="003166F7" w:rsidRDefault="003166F7" w:rsidP="003166F7">
      <w:r w:rsidRPr="003166F7">
        <w:t>Answer 85. (A) Understanding democratic transitions and political economy</w:t>
      </w:r>
    </w:p>
    <w:p w14:paraId="5A6B03D5" w14:textId="77777777" w:rsidR="003166F7" w:rsidRPr="003166F7" w:rsidRDefault="003166F7" w:rsidP="003166F7">
      <w:r w:rsidRPr="003166F7">
        <w:t>Explanation:</w:t>
      </w:r>
    </w:p>
    <w:p w14:paraId="567EE56F" w14:textId="33E8C506" w:rsidR="003166F7" w:rsidRPr="003166F7" w:rsidRDefault="003166F7" w:rsidP="003166F7">
      <w:pPr>
        <w:numPr>
          <w:ilvl w:val="0"/>
          <w:numId w:val="50"/>
        </w:numPr>
      </w:pPr>
      <w:r w:rsidRPr="003166F7">
        <w:t>Seminal papers and books co-authored with Daron Acemoglu focus on institutions, democratization, and political economy, including “A Theory of Political Transitions” and frameworks linking institutions to long-run development.</w:t>
      </w:r>
      <w:r w:rsidR="0064164F" w:rsidRPr="003166F7">
        <w:t xml:space="preserve"> </w:t>
      </w:r>
    </w:p>
    <w:p w14:paraId="5D34B21B" w14:textId="3966F237" w:rsidR="003166F7" w:rsidRPr="003166F7" w:rsidRDefault="003166F7" w:rsidP="003166F7">
      <w:pPr>
        <w:numPr>
          <w:ilvl w:val="0"/>
          <w:numId w:val="50"/>
        </w:numPr>
      </w:pPr>
      <w:r w:rsidRPr="003166F7">
        <w:t>Scholarly commentary and overviews attribute to Robinson foundational contributions on how inclusive versus extractive institutions shape democracy and development trajectories.</w:t>
      </w:r>
      <w:r w:rsidR="0064164F" w:rsidRPr="003166F7">
        <w:t xml:space="preserve"> </w:t>
      </w:r>
    </w:p>
    <w:p w14:paraId="49A1AD65" w14:textId="23900AA3" w:rsidR="003166F7" w:rsidRPr="003166F7" w:rsidRDefault="003166F7" w:rsidP="003166F7">
      <w:pPr>
        <w:numPr>
          <w:ilvl w:val="0"/>
          <w:numId w:val="50"/>
        </w:numPr>
      </w:pPr>
      <w:r w:rsidRPr="003166F7">
        <w:t xml:space="preserve">Theoretical and empirical works spanning political transitions and institutional determinants of growth anchor Robinson’s influence in political economy rather than </w:t>
      </w:r>
      <w:proofErr w:type="spellStart"/>
      <w:r w:rsidRPr="003166F7">
        <w:t>behavioral</w:t>
      </w:r>
      <w:proofErr w:type="spellEnd"/>
      <w:r w:rsidRPr="003166F7">
        <w:t>, trade, or health economics domains.</w:t>
      </w:r>
      <w:r w:rsidR="0064164F" w:rsidRPr="003166F7">
        <w:t xml:space="preserve"> </w:t>
      </w:r>
    </w:p>
    <w:p w14:paraId="5A85D1A2" w14:textId="77777777" w:rsidR="003166F7" w:rsidRPr="003166F7" w:rsidRDefault="003166F7" w:rsidP="003166F7">
      <w:pPr>
        <w:numPr>
          <w:ilvl w:val="0"/>
          <w:numId w:val="51"/>
        </w:numPr>
      </w:pPr>
      <w:r w:rsidRPr="003166F7">
        <w:lastRenderedPageBreak/>
        <w:t>Who scored the highest individual score in IPL 2025 season?</w:t>
      </w:r>
      <w:r w:rsidRPr="003166F7">
        <w:br/>
        <w:t xml:space="preserve">(A) </w:t>
      </w:r>
      <w:proofErr w:type="spellStart"/>
      <w:r w:rsidRPr="003166F7">
        <w:t>Shubman</w:t>
      </w:r>
      <w:proofErr w:type="spellEnd"/>
      <w:r w:rsidRPr="003166F7">
        <w:t xml:space="preserve"> Gill</w:t>
      </w:r>
      <w:r w:rsidRPr="003166F7">
        <w:br/>
        <w:t>(B) Jos Buttler</w:t>
      </w:r>
      <w:r w:rsidRPr="003166F7">
        <w:br/>
        <w:t>(C) Ishan Kishan</w:t>
      </w:r>
      <w:r w:rsidRPr="003166F7">
        <w:br/>
        <w:t>(D) Faf du Plessis</w:t>
      </w:r>
    </w:p>
    <w:p w14:paraId="5AC81ACD" w14:textId="77777777" w:rsidR="003166F7" w:rsidRPr="003166F7" w:rsidRDefault="003166F7" w:rsidP="003166F7">
      <w:r w:rsidRPr="003166F7">
        <w:t>Answer 86. (None) Abhishek Sharma scored 141, which is higher than the listed options</w:t>
      </w:r>
    </w:p>
    <w:p w14:paraId="49B91A57" w14:textId="77777777" w:rsidR="003166F7" w:rsidRPr="003166F7" w:rsidRDefault="003166F7" w:rsidP="003166F7">
      <w:r w:rsidRPr="003166F7">
        <w:t>Explanation:</w:t>
      </w:r>
    </w:p>
    <w:p w14:paraId="5D345CB6" w14:textId="653F5BFA" w:rsidR="003166F7" w:rsidRPr="003166F7" w:rsidRDefault="003166F7" w:rsidP="003166F7">
      <w:pPr>
        <w:numPr>
          <w:ilvl w:val="0"/>
          <w:numId w:val="52"/>
        </w:numPr>
      </w:pPr>
      <w:r w:rsidRPr="003166F7">
        <w:t>The highest individual score recorded in the IPL 2025 season was 141 by Abhishek Sharma (SRH) on April 12, 2025, which exceeds the top scores associated with the listed options, making none of the provided choices correct as per the cited record.</w:t>
      </w:r>
      <w:r w:rsidR="0064164F" w:rsidRPr="003166F7">
        <w:t xml:space="preserve"> </w:t>
      </w:r>
    </w:p>
    <w:p w14:paraId="3CD59B8B" w14:textId="0409FC44" w:rsidR="003166F7" w:rsidRPr="003166F7" w:rsidRDefault="003166F7" w:rsidP="003166F7">
      <w:pPr>
        <w:numPr>
          <w:ilvl w:val="0"/>
          <w:numId w:val="52"/>
        </w:numPr>
      </w:pPr>
      <w:r w:rsidRPr="003166F7">
        <w:t>Season batting aggregates confirm top individual scores for other players that do not surpass 141, reinforcing that Abhishek Sharma’s 141 stands as the season’s peak.</w:t>
      </w:r>
      <w:r w:rsidR="0064164F" w:rsidRPr="003166F7">
        <w:t xml:space="preserve"> </w:t>
      </w:r>
    </w:p>
    <w:p w14:paraId="69BCECC6" w14:textId="3A544840" w:rsidR="003166F7" w:rsidRPr="003166F7" w:rsidRDefault="003166F7" w:rsidP="003166F7">
      <w:pPr>
        <w:numPr>
          <w:ilvl w:val="0"/>
          <w:numId w:val="52"/>
        </w:numPr>
      </w:pPr>
      <w:r w:rsidRPr="003166F7">
        <w:t>Given the options provided do not include the top scorer by innings, the accurate information reflects an out-of-options correct answer based on official statistics listings.</w:t>
      </w:r>
      <w:r w:rsidR="0064164F" w:rsidRPr="003166F7">
        <w:t xml:space="preserve"> </w:t>
      </w:r>
    </w:p>
    <w:p w14:paraId="0FD45A80" w14:textId="77777777" w:rsidR="003166F7" w:rsidRPr="003166F7" w:rsidRDefault="003166F7" w:rsidP="003166F7">
      <w:pPr>
        <w:numPr>
          <w:ilvl w:val="0"/>
          <w:numId w:val="53"/>
        </w:numPr>
      </w:pPr>
      <w:r w:rsidRPr="003166F7">
        <w:t>The 15th Finance Commission, before the current one, served for the period:</w:t>
      </w:r>
      <w:r w:rsidRPr="003166F7">
        <w:br/>
        <w:t>(A) 2020-2025</w:t>
      </w:r>
      <w:r w:rsidRPr="003166F7">
        <w:br/>
        <w:t>(B) 2017-2022</w:t>
      </w:r>
      <w:r w:rsidRPr="003166F7">
        <w:br/>
        <w:t>(C) 2018-2023</w:t>
      </w:r>
      <w:r w:rsidRPr="003166F7">
        <w:br/>
        <w:t>(D) 2019-2024</w:t>
      </w:r>
    </w:p>
    <w:p w14:paraId="60A0898F" w14:textId="77777777" w:rsidR="003166F7" w:rsidRPr="003166F7" w:rsidRDefault="003166F7" w:rsidP="003166F7">
      <w:r w:rsidRPr="003166F7">
        <w:t>Answer 87. (A) 2020-2025</w:t>
      </w:r>
    </w:p>
    <w:p w14:paraId="09CA2179" w14:textId="77777777" w:rsidR="003166F7" w:rsidRPr="003166F7" w:rsidRDefault="003166F7" w:rsidP="003166F7">
      <w:r w:rsidRPr="003166F7">
        <w:t>Explanation:</w:t>
      </w:r>
    </w:p>
    <w:p w14:paraId="2A72CF5D" w14:textId="4B69E66A" w:rsidR="003166F7" w:rsidRPr="003166F7" w:rsidRDefault="003166F7" w:rsidP="003166F7">
      <w:pPr>
        <w:numPr>
          <w:ilvl w:val="0"/>
          <w:numId w:val="54"/>
        </w:numPr>
      </w:pPr>
      <w:r w:rsidRPr="003166F7">
        <w:t>The Fifteenth Finance Commission issued recommendations for 2020-21 in an initial report and for 2021-22 to 2025-26 in the final report, commonly associated with the 2020–2025 five-year window in general references to its remit starting FY 2020-21 through FY 2024-25 in a simplified framing, though the final coverage extended to 2025-26.</w:t>
      </w:r>
      <w:r w:rsidR="0064164F" w:rsidRPr="003166F7">
        <w:t xml:space="preserve"> </w:t>
      </w:r>
    </w:p>
    <w:p w14:paraId="1189E34D" w14:textId="41EC6A5C" w:rsidR="003166F7" w:rsidRPr="003166F7" w:rsidRDefault="003166F7" w:rsidP="003166F7">
      <w:pPr>
        <w:numPr>
          <w:ilvl w:val="0"/>
          <w:numId w:val="54"/>
        </w:numPr>
      </w:pPr>
      <w:r w:rsidRPr="003166F7">
        <w:t>Official communications indicate the first report for FY 2020-21 and a final report for FYs 2021-22 to 2025-26, situating its operative recommendations commencing 1 April 2020.</w:t>
      </w:r>
      <w:r w:rsidR="0064164F" w:rsidRPr="003166F7">
        <w:t xml:space="preserve"> </w:t>
      </w:r>
    </w:p>
    <w:p w14:paraId="71E1C382" w14:textId="1A29D4C1" w:rsidR="003166F7" w:rsidRPr="003166F7" w:rsidRDefault="003166F7" w:rsidP="003166F7">
      <w:pPr>
        <w:numPr>
          <w:ilvl w:val="0"/>
          <w:numId w:val="54"/>
        </w:numPr>
      </w:pPr>
      <w:r w:rsidRPr="003166F7">
        <w:t>Institutional notes underscore that the 15th Commission’s recommendations covered up to March 31, 2026, though the standard five-year shorthand often maps to 2020–2025 in many preparatory materials and summaries.</w:t>
      </w:r>
      <w:r w:rsidR="0064164F" w:rsidRPr="003166F7">
        <w:t xml:space="preserve"> </w:t>
      </w:r>
    </w:p>
    <w:p w14:paraId="7D163774" w14:textId="77777777" w:rsidR="003166F7" w:rsidRPr="003166F7" w:rsidRDefault="003166F7" w:rsidP="003166F7">
      <w:pPr>
        <w:numPr>
          <w:ilvl w:val="0"/>
          <w:numId w:val="55"/>
        </w:numPr>
      </w:pPr>
      <w:r w:rsidRPr="003166F7">
        <w:t xml:space="preserve">Which of the Indian Antarctic stations is located on the </w:t>
      </w:r>
      <w:proofErr w:type="spellStart"/>
      <w:r w:rsidRPr="003166F7">
        <w:t>Larsemann</w:t>
      </w:r>
      <w:proofErr w:type="spellEnd"/>
      <w:r w:rsidRPr="003166F7">
        <w:t xml:space="preserve"> Hills?</w:t>
      </w:r>
      <w:r w:rsidRPr="003166F7">
        <w:br/>
        <w:t>(A) Maitri</w:t>
      </w:r>
      <w:r w:rsidRPr="003166F7">
        <w:br/>
        <w:t>(B) Bharati</w:t>
      </w:r>
      <w:r w:rsidRPr="003166F7">
        <w:br/>
        <w:t>(C) Dakshin Gangotri</w:t>
      </w:r>
      <w:r w:rsidRPr="003166F7">
        <w:br/>
        <w:t>(D) Himadri</w:t>
      </w:r>
    </w:p>
    <w:p w14:paraId="585A4644" w14:textId="77777777" w:rsidR="003166F7" w:rsidRPr="003166F7" w:rsidRDefault="003166F7" w:rsidP="003166F7">
      <w:r w:rsidRPr="003166F7">
        <w:t>Answer 88. (B) Bharati</w:t>
      </w:r>
    </w:p>
    <w:p w14:paraId="1A46728D" w14:textId="77777777" w:rsidR="003166F7" w:rsidRPr="003166F7" w:rsidRDefault="003166F7" w:rsidP="003166F7">
      <w:r w:rsidRPr="003166F7">
        <w:t>Explanation:</w:t>
      </w:r>
    </w:p>
    <w:p w14:paraId="1BA54884" w14:textId="6E265AD6" w:rsidR="003166F7" w:rsidRPr="003166F7" w:rsidRDefault="003166F7" w:rsidP="003166F7">
      <w:pPr>
        <w:numPr>
          <w:ilvl w:val="0"/>
          <w:numId w:val="56"/>
        </w:numPr>
      </w:pPr>
      <w:r w:rsidRPr="003166F7">
        <w:t xml:space="preserve">Bharati, India’s third Antarctic research station, is located in the </w:t>
      </w:r>
      <w:proofErr w:type="spellStart"/>
      <w:r w:rsidRPr="003166F7">
        <w:t>Larsemann</w:t>
      </w:r>
      <w:proofErr w:type="spellEnd"/>
      <w:r w:rsidRPr="003166F7">
        <w:t xml:space="preserve"> Hills and has been operational since March 2012.</w:t>
      </w:r>
      <w:r w:rsidR="0064164F" w:rsidRPr="003166F7">
        <w:t xml:space="preserve"> </w:t>
      </w:r>
    </w:p>
    <w:p w14:paraId="2EDBB9C2" w14:textId="10596729" w:rsidR="003166F7" w:rsidRPr="003166F7" w:rsidRDefault="003166F7" w:rsidP="003166F7">
      <w:pPr>
        <w:numPr>
          <w:ilvl w:val="0"/>
          <w:numId w:val="56"/>
        </w:numPr>
      </w:pPr>
      <w:r w:rsidRPr="003166F7">
        <w:lastRenderedPageBreak/>
        <w:t xml:space="preserve">Station advisories and profiles explicitly state “BHARATI – Indian Research Station at </w:t>
      </w:r>
      <w:proofErr w:type="spellStart"/>
      <w:r w:rsidRPr="003166F7">
        <w:t>Larsemann</w:t>
      </w:r>
      <w:proofErr w:type="spellEnd"/>
      <w:r w:rsidRPr="003166F7">
        <w:t xml:space="preserve"> Hills, Antarctica,” confirming the location.</w:t>
      </w:r>
      <w:r w:rsidR="0064164F" w:rsidRPr="003166F7">
        <w:t xml:space="preserve"> </w:t>
      </w:r>
    </w:p>
    <w:p w14:paraId="3E721E18" w14:textId="28B86792" w:rsidR="003166F7" w:rsidRPr="003166F7" w:rsidRDefault="003166F7" w:rsidP="003166F7">
      <w:pPr>
        <w:numPr>
          <w:ilvl w:val="0"/>
          <w:numId w:val="56"/>
        </w:numPr>
      </w:pPr>
      <w:r w:rsidRPr="003166F7">
        <w:t xml:space="preserve">Examination resources and summaries also identify Bharati as the </w:t>
      </w:r>
      <w:proofErr w:type="spellStart"/>
      <w:r w:rsidRPr="003166F7">
        <w:t>Larsemann</w:t>
      </w:r>
      <w:proofErr w:type="spellEnd"/>
      <w:r w:rsidRPr="003166F7">
        <w:t xml:space="preserve"> Hills station, distinguishing it from Maitri (Schirmacher Oasis) and Himadri (Arctic).</w:t>
      </w:r>
      <w:r w:rsidR="0064164F" w:rsidRPr="003166F7">
        <w:t xml:space="preserve"> </w:t>
      </w:r>
    </w:p>
    <w:p w14:paraId="3AF957A9" w14:textId="77777777" w:rsidR="003166F7" w:rsidRPr="003166F7" w:rsidRDefault="003166F7" w:rsidP="003166F7">
      <w:pPr>
        <w:numPr>
          <w:ilvl w:val="0"/>
          <w:numId w:val="57"/>
        </w:numPr>
      </w:pPr>
      <w:r w:rsidRPr="003166F7">
        <w:t>In which district of Assam is the historic Madan Kamdev archaeological site located?</w:t>
      </w:r>
      <w:r w:rsidRPr="003166F7">
        <w:br/>
        <w:t xml:space="preserve">(A) </w:t>
      </w:r>
      <w:proofErr w:type="spellStart"/>
      <w:r w:rsidRPr="003166F7">
        <w:t>Kamrup</w:t>
      </w:r>
      <w:proofErr w:type="spellEnd"/>
      <w:r w:rsidRPr="003166F7">
        <w:br/>
        <w:t xml:space="preserve">(B) </w:t>
      </w:r>
      <w:proofErr w:type="spellStart"/>
      <w:r w:rsidRPr="003166F7">
        <w:t>Nalbari</w:t>
      </w:r>
      <w:proofErr w:type="spellEnd"/>
      <w:r w:rsidRPr="003166F7">
        <w:br/>
        <w:t xml:space="preserve">(C) </w:t>
      </w:r>
      <w:proofErr w:type="spellStart"/>
      <w:r w:rsidRPr="003166F7">
        <w:t>Darrang</w:t>
      </w:r>
      <w:proofErr w:type="spellEnd"/>
      <w:r w:rsidRPr="003166F7">
        <w:br/>
        <w:t xml:space="preserve">(D) </w:t>
      </w:r>
      <w:proofErr w:type="spellStart"/>
      <w:r w:rsidRPr="003166F7">
        <w:t>Sonitpur</w:t>
      </w:r>
      <w:proofErr w:type="spellEnd"/>
    </w:p>
    <w:p w14:paraId="0AA4B92D" w14:textId="77777777" w:rsidR="003166F7" w:rsidRPr="003166F7" w:rsidRDefault="003166F7" w:rsidP="003166F7">
      <w:r w:rsidRPr="003166F7">
        <w:t xml:space="preserve">Answer 89. (A) </w:t>
      </w:r>
      <w:proofErr w:type="spellStart"/>
      <w:r w:rsidRPr="003166F7">
        <w:t>Kamrup</w:t>
      </w:r>
      <w:proofErr w:type="spellEnd"/>
    </w:p>
    <w:p w14:paraId="6C60B176" w14:textId="77777777" w:rsidR="003166F7" w:rsidRPr="003166F7" w:rsidRDefault="003166F7" w:rsidP="003166F7">
      <w:r w:rsidRPr="003166F7">
        <w:t>Explanation:</w:t>
      </w:r>
    </w:p>
    <w:p w14:paraId="5484EBF5" w14:textId="1D1BEAEB" w:rsidR="003166F7" w:rsidRPr="003166F7" w:rsidRDefault="003166F7" w:rsidP="003166F7">
      <w:pPr>
        <w:numPr>
          <w:ilvl w:val="0"/>
          <w:numId w:val="58"/>
        </w:numPr>
      </w:pPr>
      <w:r w:rsidRPr="003166F7">
        <w:t xml:space="preserve">Madan Kamdev is an archaeological site at </w:t>
      </w:r>
      <w:proofErr w:type="spellStart"/>
      <w:r w:rsidRPr="003166F7">
        <w:t>Baihata</w:t>
      </w:r>
      <w:proofErr w:type="spellEnd"/>
      <w:r w:rsidRPr="003166F7">
        <w:t xml:space="preserve"> </w:t>
      </w:r>
      <w:proofErr w:type="spellStart"/>
      <w:r w:rsidRPr="003166F7">
        <w:t>Chariali</w:t>
      </w:r>
      <w:proofErr w:type="spellEnd"/>
      <w:r w:rsidRPr="003166F7">
        <w:t xml:space="preserve"> in the </w:t>
      </w:r>
      <w:proofErr w:type="spellStart"/>
      <w:r w:rsidRPr="003166F7">
        <w:t>Kamrup</w:t>
      </w:r>
      <w:proofErr w:type="spellEnd"/>
      <w:r w:rsidRPr="003166F7">
        <w:t xml:space="preserve"> region of Assam, identified in multiple location-focused descriptions.</w:t>
      </w:r>
      <w:r w:rsidR="0064164F" w:rsidRPr="003166F7">
        <w:t xml:space="preserve"> </w:t>
      </w:r>
    </w:p>
    <w:p w14:paraId="0A5D0C05" w14:textId="33D2C6A7" w:rsidR="003166F7" w:rsidRPr="003166F7" w:rsidRDefault="003166F7" w:rsidP="003166F7">
      <w:pPr>
        <w:numPr>
          <w:ilvl w:val="0"/>
          <w:numId w:val="58"/>
        </w:numPr>
      </w:pPr>
      <w:proofErr w:type="spellStart"/>
      <w:r w:rsidRPr="003166F7">
        <w:t>Encyclopedic</w:t>
      </w:r>
      <w:proofErr w:type="spellEnd"/>
      <w:r w:rsidRPr="003166F7">
        <w:t xml:space="preserve"> entries list its region explicitly as </w:t>
      </w:r>
      <w:proofErr w:type="spellStart"/>
      <w:r w:rsidRPr="003166F7">
        <w:t>Kamrup</w:t>
      </w:r>
      <w:proofErr w:type="spellEnd"/>
      <w:r w:rsidRPr="003166F7">
        <w:t>, anchoring the site geographically within that district’s historical-cultural landscape.</w:t>
      </w:r>
      <w:r w:rsidR="0064164F" w:rsidRPr="003166F7">
        <w:t xml:space="preserve"> </w:t>
      </w:r>
    </w:p>
    <w:p w14:paraId="2EA2D284" w14:textId="7A3FA89D" w:rsidR="003166F7" w:rsidRPr="003166F7" w:rsidRDefault="003166F7" w:rsidP="003166F7">
      <w:pPr>
        <w:numPr>
          <w:ilvl w:val="0"/>
          <w:numId w:val="58"/>
        </w:numPr>
      </w:pPr>
      <w:r w:rsidRPr="003166F7">
        <w:t xml:space="preserve">Travel and heritage notes reiterate </w:t>
      </w:r>
      <w:proofErr w:type="spellStart"/>
      <w:r w:rsidRPr="003166F7">
        <w:t>Baihata</w:t>
      </w:r>
      <w:proofErr w:type="spellEnd"/>
      <w:r w:rsidRPr="003166F7">
        <w:t xml:space="preserve"> </w:t>
      </w:r>
      <w:proofErr w:type="spellStart"/>
      <w:r w:rsidRPr="003166F7">
        <w:t>Chariali</w:t>
      </w:r>
      <w:proofErr w:type="spellEnd"/>
      <w:r w:rsidRPr="003166F7">
        <w:t xml:space="preserve"> proximity and </w:t>
      </w:r>
      <w:proofErr w:type="spellStart"/>
      <w:r w:rsidRPr="003166F7">
        <w:t>Kamrup</w:t>
      </w:r>
      <w:proofErr w:type="spellEnd"/>
      <w:r w:rsidRPr="003166F7">
        <w:t xml:space="preserve"> attribution, aligning with administrative geography.</w:t>
      </w:r>
      <w:r w:rsidR="0064164F" w:rsidRPr="003166F7">
        <w:t xml:space="preserve"> </w:t>
      </w:r>
    </w:p>
    <w:p w14:paraId="3772DC5C" w14:textId="77777777" w:rsidR="003166F7" w:rsidRPr="003166F7" w:rsidRDefault="003166F7" w:rsidP="003166F7">
      <w:pPr>
        <w:numPr>
          <w:ilvl w:val="0"/>
          <w:numId w:val="59"/>
        </w:numPr>
      </w:pPr>
      <w:r w:rsidRPr="003166F7">
        <w:t>Who was known as the “Lion of the Brahmaputra” for his leadership in Assam during the Pre-Independence era?</w:t>
      </w:r>
      <w:r w:rsidRPr="003166F7">
        <w:br/>
        <w:t xml:space="preserve">(A) </w:t>
      </w:r>
      <w:proofErr w:type="spellStart"/>
      <w:r w:rsidRPr="003166F7">
        <w:t>Bishnuram</w:t>
      </w:r>
      <w:proofErr w:type="spellEnd"/>
      <w:r w:rsidRPr="003166F7">
        <w:t xml:space="preserve"> Medhi</w:t>
      </w:r>
      <w:r w:rsidRPr="003166F7">
        <w:br/>
        <w:t>(B) Gopinath Bordoloi</w:t>
      </w:r>
      <w:r w:rsidRPr="003166F7">
        <w:br/>
        <w:t>(C) Rajanikanta Bordoloi</w:t>
      </w:r>
      <w:r w:rsidRPr="003166F7">
        <w:br/>
        <w:t>(D) Kamala Prasad Agarwala</w:t>
      </w:r>
    </w:p>
    <w:p w14:paraId="4C7C770F" w14:textId="77777777" w:rsidR="003166F7" w:rsidRPr="003166F7" w:rsidRDefault="003166F7" w:rsidP="003166F7">
      <w:r w:rsidRPr="003166F7">
        <w:t>Answer 90. (B) Gopinath Bordoloi</w:t>
      </w:r>
    </w:p>
    <w:p w14:paraId="5DF058C8" w14:textId="77777777" w:rsidR="003166F7" w:rsidRPr="003166F7" w:rsidRDefault="003166F7" w:rsidP="003166F7">
      <w:r w:rsidRPr="003166F7">
        <w:t>Explanation:</w:t>
      </w:r>
    </w:p>
    <w:p w14:paraId="688AE4CB" w14:textId="2AC45F15" w:rsidR="003166F7" w:rsidRPr="003166F7" w:rsidRDefault="003166F7" w:rsidP="003166F7">
      <w:pPr>
        <w:numPr>
          <w:ilvl w:val="0"/>
          <w:numId w:val="60"/>
        </w:numPr>
      </w:pPr>
      <w:r w:rsidRPr="003166F7">
        <w:t>Gopinath Bordoloi, the first Chief Minister of Assam and a key independence-era leader, is celebrated as “</w:t>
      </w:r>
      <w:proofErr w:type="spellStart"/>
      <w:r w:rsidRPr="003166F7">
        <w:t>Lokapriya</w:t>
      </w:r>
      <w:proofErr w:type="spellEnd"/>
      <w:r w:rsidRPr="003166F7">
        <w:t>” and widely referred to as the Lion of Assam, reflecting his stature and leadership associated with the Brahmaputra valley.</w:t>
      </w:r>
      <w:r w:rsidRPr="003166F7">
        <w:t xml:space="preserve"> </w:t>
      </w:r>
    </w:p>
    <w:p w14:paraId="33782E6B" w14:textId="6EB02965" w:rsidR="003166F7" w:rsidRPr="003166F7" w:rsidRDefault="003166F7" w:rsidP="003166F7">
      <w:pPr>
        <w:numPr>
          <w:ilvl w:val="0"/>
          <w:numId w:val="60"/>
        </w:numPr>
      </w:pPr>
      <w:r w:rsidRPr="003166F7">
        <w:t>Government and commemorative narratives repeatedly characterize Bordoloi as the “Lion of Assam,” highlighting his role in safeguarding Assam’s interests during Partition and early state-building.</w:t>
      </w:r>
      <w:r w:rsidRPr="003166F7">
        <w:t xml:space="preserve"> </w:t>
      </w:r>
    </w:p>
    <w:p w14:paraId="24057514" w14:textId="0D80A6D0" w:rsidR="00791C36" w:rsidRPr="00B73FFF" w:rsidRDefault="003166F7" w:rsidP="003166F7">
      <w:pPr>
        <w:numPr>
          <w:ilvl w:val="0"/>
          <w:numId w:val="60"/>
        </w:numPr>
      </w:pPr>
      <w:r w:rsidRPr="003166F7">
        <w:t>Historical profiles and popular accounts attribute the “Sher-</w:t>
      </w:r>
      <w:proofErr w:type="spellStart"/>
      <w:r w:rsidRPr="003166F7">
        <w:t>i</w:t>
      </w:r>
      <w:proofErr w:type="spellEnd"/>
      <w:r w:rsidRPr="003166F7">
        <w:t>-Assam” or Lion epithet to Bordoloi, aligning with the phrase “Lion of the Brahmaputra” in regional reverence for his leadership.</w:t>
      </w:r>
    </w:p>
    <w:sectPr w:rsidR="00791C36" w:rsidRPr="00B73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20E9"/>
    <w:multiLevelType w:val="multilevel"/>
    <w:tmpl w:val="8D88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74AB2"/>
    <w:multiLevelType w:val="multilevel"/>
    <w:tmpl w:val="C51A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D0650"/>
    <w:multiLevelType w:val="multilevel"/>
    <w:tmpl w:val="C556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E4794"/>
    <w:multiLevelType w:val="multilevel"/>
    <w:tmpl w:val="9862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64FF6"/>
    <w:multiLevelType w:val="multilevel"/>
    <w:tmpl w:val="9B8CB8A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4003C"/>
    <w:multiLevelType w:val="multilevel"/>
    <w:tmpl w:val="34CCBD1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8215F"/>
    <w:multiLevelType w:val="multilevel"/>
    <w:tmpl w:val="E3364170"/>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D1A1F"/>
    <w:multiLevelType w:val="multilevel"/>
    <w:tmpl w:val="A1EC8BD6"/>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821D0"/>
    <w:multiLevelType w:val="multilevel"/>
    <w:tmpl w:val="D4AA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46BBA"/>
    <w:multiLevelType w:val="multilevel"/>
    <w:tmpl w:val="368AC57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800FB"/>
    <w:multiLevelType w:val="multilevel"/>
    <w:tmpl w:val="790E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16C15"/>
    <w:multiLevelType w:val="multilevel"/>
    <w:tmpl w:val="40FC7A9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26CF3"/>
    <w:multiLevelType w:val="multilevel"/>
    <w:tmpl w:val="D360B176"/>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83718F"/>
    <w:multiLevelType w:val="multilevel"/>
    <w:tmpl w:val="8664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67D66"/>
    <w:multiLevelType w:val="multilevel"/>
    <w:tmpl w:val="F6A4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035DD"/>
    <w:multiLevelType w:val="multilevel"/>
    <w:tmpl w:val="496AB9A4"/>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C726B0"/>
    <w:multiLevelType w:val="multilevel"/>
    <w:tmpl w:val="EB969E4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3209E6"/>
    <w:multiLevelType w:val="multilevel"/>
    <w:tmpl w:val="BCE0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A781E"/>
    <w:multiLevelType w:val="multilevel"/>
    <w:tmpl w:val="ED1E196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940969"/>
    <w:multiLevelType w:val="multilevel"/>
    <w:tmpl w:val="6452083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37619C"/>
    <w:multiLevelType w:val="multilevel"/>
    <w:tmpl w:val="CDE6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E26067"/>
    <w:multiLevelType w:val="multilevel"/>
    <w:tmpl w:val="281A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92560"/>
    <w:multiLevelType w:val="multilevel"/>
    <w:tmpl w:val="2A82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C87489"/>
    <w:multiLevelType w:val="multilevel"/>
    <w:tmpl w:val="E55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F649CF"/>
    <w:multiLevelType w:val="multilevel"/>
    <w:tmpl w:val="95D456F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E26181"/>
    <w:multiLevelType w:val="multilevel"/>
    <w:tmpl w:val="972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B221A"/>
    <w:multiLevelType w:val="multilevel"/>
    <w:tmpl w:val="D8FE089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C44C2C"/>
    <w:multiLevelType w:val="multilevel"/>
    <w:tmpl w:val="0E5AF1E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8007A8"/>
    <w:multiLevelType w:val="multilevel"/>
    <w:tmpl w:val="CE70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81C7C"/>
    <w:multiLevelType w:val="multilevel"/>
    <w:tmpl w:val="E93652F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FC6B6C"/>
    <w:multiLevelType w:val="multilevel"/>
    <w:tmpl w:val="CAD0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DB41F1"/>
    <w:multiLevelType w:val="multilevel"/>
    <w:tmpl w:val="0AD8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C669A8"/>
    <w:multiLevelType w:val="multilevel"/>
    <w:tmpl w:val="60122D3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50036A"/>
    <w:multiLevelType w:val="multilevel"/>
    <w:tmpl w:val="338018C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E955F9"/>
    <w:multiLevelType w:val="multilevel"/>
    <w:tmpl w:val="E9666CF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72746C"/>
    <w:multiLevelType w:val="multilevel"/>
    <w:tmpl w:val="648A8376"/>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966EC9"/>
    <w:multiLevelType w:val="multilevel"/>
    <w:tmpl w:val="C81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6125A6"/>
    <w:multiLevelType w:val="multilevel"/>
    <w:tmpl w:val="0AE44ABC"/>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2E2B08"/>
    <w:multiLevelType w:val="multilevel"/>
    <w:tmpl w:val="1B50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3B4F3A"/>
    <w:multiLevelType w:val="multilevel"/>
    <w:tmpl w:val="490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1C75DB"/>
    <w:multiLevelType w:val="multilevel"/>
    <w:tmpl w:val="3F5043C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AF6296"/>
    <w:multiLevelType w:val="multilevel"/>
    <w:tmpl w:val="B6DE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BE4DD4"/>
    <w:multiLevelType w:val="multilevel"/>
    <w:tmpl w:val="0C28B2B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7521F6"/>
    <w:multiLevelType w:val="multilevel"/>
    <w:tmpl w:val="FF96D02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1115DB"/>
    <w:multiLevelType w:val="multilevel"/>
    <w:tmpl w:val="51B2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8A2E7F"/>
    <w:multiLevelType w:val="multilevel"/>
    <w:tmpl w:val="061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771E37"/>
    <w:multiLevelType w:val="multilevel"/>
    <w:tmpl w:val="94A60EC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33475A"/>
    <w:multiLevelType w:val="multilevel"/>
    <w:tmpl w:val="3266C1C8"/>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4D2FBE"/>
    <w:multiLevelType w:val="multilevel"/>
    <w:tmpl w:val="9DD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C90CEC"/>
    <w:multiLevelType w:val="multilevel"/>
    <w:tmpl w:val="D16CA4A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B30DEC"/>
    <w:multiLevelType w:val="multilevel"/>
    <w:tmpl w:val="A71E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101CA1"/>
    <w:multiLevelType w:val="multilevel"/>
    <w:tmpl w:val="2814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B7482E"/>
    <w:multiLevelType w:val="multilevel"/>
    <w:tmpl w:val="A2BC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A32776"/>
    <w:multiLevelType w:val="multilevel"/>
    <w:tmpl w:val="21D8AE48"/>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F564DD"/>
    <w:multiLevelType w:val="multilevel"/>
    <w:tmpl w:val="6A56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357C5F"/>
    <w:multiLevelType w:val="multilevel"/>
    <w:tmpl w:val="4D7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AA5CAA"/>
    <w:multiLevelType w:val="multilevel"/>
    <w:tmpl w:val="7D64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BA6C3B"/>
    <w:multiLevelType w:val="multilevel"/>
    <w:tmpl w:val="E12C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EE1A11"/>
    <w:multiLevelType w:val="multilevel"/>
    <w:tmpl w:val="8584776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512CA"/>
    <w:multiLevelType w:val="multilevel"/>
    <w:tmpl w:val="28743CA8"/>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757F25"/>
    <w:multiLevelType w:val="multilevel"/>
    <w:tmpl w:val="1D8620B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509840">
    <w:abstractNumId w:val="4"/>
  </w:num>
  <w:num w:numId="2" w16cid:durableId="198202794">
    <w:abstractNumId w:val="48"/>
  </w:num>
  <w:num w:numId="3" w16cid:durableId="386219931">
    <w:abstractNumId w:val="49"/>
  </w:num>
  <w:num w:numId="4" w16cid:durableId="1355771358">
    <w:abstractNumId w:val="45"/>
  </w:num>
  <w:num w:numId="5" w16cid:durableId="817651042">
    <w:abstractNumId w:val="42"/>
  </w:num>
  <w:num w:numId="6" w16cid:durableId="892036158">
    <w:abstractNumId w:val="1"/>
  </w:num>
  <w:num w:numId="7" w16cid:durableId="2048674727">
    <w:abstractNumId w:val="46"/>
  </w:num>
  <w:num w:numId="8" w16cid:durableId="324824220">
    <w:abstractNumId w:val="0"/>
  </w:num>
  <w:num w:numId="9" w16cid:durableId="2105219166">
    <w:abstractNumId w:val="9"/>
  </w:num>
  <w:num w:numId="10" w16cid:durableId="1987319244">
    <w:abstractNumId w:val="23"/>
  </w:num>
  <w:num w:numId="11" w16cid:durableId="1905875488">
    <w:abstractNumId w:val="16"/>
  </w:num>
  <w:num w:numId="12" w16cid:durableId="1251699886">
    <w:abstractNumId w:val="51"/>
  </w:num>
  <w:num w:numId="13" w16cid:durableId="305673150">
    <w:abstractNumId w:val="34"/>
  </w:num>
  <w:num w:numId="14" w16cid:durableId="938022349">
    <w:abstractNumId w:val="13"/>
  </w:num>
  <w:num w:numId="15" w16cid:durableId="284234599">
    <w:abstractNumId w:val="29"/>
  </w:num>
  <w:num w:numId="16" w16cid:durableId="165481786">
    <w:abstractNumId w:val="20"/>
  </w:num>
  <w:num w:numId="17" w16cid:durableId="714736021">
    <w:abstractNumId w:val="24"/>
  </w:num>
  <w:num w:numId="18" w16cid:durableId="1642684858">
    <w:abstractNumId w:val="14"/>
  </w:num>
  <w:num w:numId="19" w16cid:durableId="1499271925">
    <w:abstractNumId w:val="19"/>
  </w:num>
  <w:num w:numId="20" w16cid:durableId="1650817130">
    <w:abstractNumId w:val="50"/>
  </w:num>
  <w:num w:numId="21" w16cid:durableId="646785705">
    <w:abstractNumId w:val="18"/>
  </w:num>
  <w:num w:numId="22" w16cid:durableId="1126971095">
    <w:abstractNumId w:val="57"/>
  </w:num>
  <w:num w:numId="23" w16cid:durableId="346559664">
    <w:abstractNumId w:val="32"/>
  </w:num>
  <w:num w:numId="24" w16cid:durableId="1623220594">
    <w:abstractNumId w:val="31"/>
  </w:num>
  <w:num w:numId="25" w16cid:durableId="729379149">
    <w:abstractNumId w:val="60"/>
  </w:num>
  <w:num w:numId="26" w16cid:durableId="1614819164">
    <w:abstractNumId w:val="56"/>
  </w:num>
  <w:num w:numId="27" w16cid:durableId="260535127">
    <w:abstractNumId w:val="26"/>
  </w:num>
  <w:num w:numId="28" w16cid:durableId="243029424">
    <w:abstractNumId w:val="39"/>
  </w:num>
  <w:num w:numId="29" w16cid:durableId="401491371">
    <w:abstractNumId w:val="43"/>
  </w:num>
  <w:num w:numId="30" w16cid:durableId="1707827146">
    <w:abstractNumId w:val="54"/>
  </w:num>
  <w:num w:numId="31" w16cid:durableId="90469788">
    <w:abstractNumId w:val="5"/>
  </w:num>
  <w:num w:numId="32" w16cid:durableId="952321877">
    <w:abstractNumId w:val="2"/>
  </w:num>
  <w:num w:numId="33" w16cid:durableId="1361586615">
    <w:abstractNumId w:val="27"/>
  </w:num>
  <w:num w:numId="34" w16cid:durableId="142242270">
    <w:abstractNumId w:val="25"/>
  </w:num>
  <w:num w:numId="35" w16cid:durableId="310326771">
    <w:abstractNumId w:val="58"/>
  </w:num>
  <w:num w:numId="36" w16cid:durableId="1896433086">
    <w:abstractNumId w:val="21"/>
  </w:num>
  <w:num w:numId="37" w16cid:durableId="1492480055">
    <w:abstractNumId w:val="33"/>
  </w:num>
  <w:num w:numId="38" w16cid:durableId="779688826">
    <w:abstractNumId w:val="10"/>
  </w:num>
  <w:num w:numId="39" w16cid:durableId="1248733124">
    <w:abstractNumId w:val="11"/>
  </w:num>
  <w:num w:numId="40" w16cid:durableId="1094278226">
    <w:abstractNumId w:val="55"/>
  </w:num>
  <w:num w:numId="41" w16cid:durableId="1811089466">
    <w:abstractNumId w:val="35"/>
  </w:num>
  <w:num w:numId="42" w16cid:durableId="580410134">
    <w:abstractNumId w:val="38"/>
  </w:num>
  <w:num w:numId="43" w16cid:durableId="1272860478">
    <w:abstractNumId w:val="12"/>
  </w:num>
  <w:num w:numId="44" w16cid:durableId="723329940">
    <w:abstractNumId w:val="28"/>
  </w:num>
  <w:num w:numId="45" w16cid:durableId="2051412941">
    <w:abstractNumId w:val="6"/>
  </w:num>
  <w:num w:numId="46" w16cid:durableId="275406544">
    <w:abstractNumId w:val="36"/>
  </w:num>
  <w:num w:numId="47" w16cid:durableId="2029407429">
    <w:abstractNumId w:val="7"/>
  </w:num>
  <w:num w:numId="48" w16cid:durableId="607591079">
    <w:abstractNumId w:val="52"/>
  </w:num>
  <w:num w:numId="49" w16cid:durableId="864757550">
    <w:abstractNumId w:val="15"/>
  </w:num>
  <w:num w:numId="50" w16cid:durableId="825702226">
    <w:abstractNumId w:val="41"/>
  </w:num>
  <w:num w:numId="51" w16cid:durableId="974144828">
    <w:abstractNumId w:val="53"/>
  </w:num>
  <w:num w:numId="52" w16cid:durableId="516386612">
    <w:abstractNumId w:val="44"/>
  </w:num>
  <w:num w:numId="53" w16cid:durableId="910040319">
    <w:abstractNumId w:val="59"/>
  </w:num>
  <w:num w:numId="54" w16cid:durableId="1234270895">
    <w:abstractNumId w:val="3"/>
  </w:num>
  <w:num w:numId="55" w16cid:durableId="1156189024">
    <w:abstractNumId w:val="47"/>
  </w:num>
  <w:num w:numId="56" w16cid:durableId="1644192469">
    <w:abstractNumId w:val="8"/>
  </w:num>
  <w:num w:numId="57" w16cid:durableId="930698760">
    <w:abstractNumId w:val="37"/>
  </w:num>
  <w:num w:numId="58" w16cid:durableId="1915697187">
    <w:abstractNumId w:val="17"/>
  </w:num>
  <w:num w:numId="59" w16cid:durableId="565411579">
    <w:abstractNumId w:val="40"/>
  </w:num>
  <w:num w:numId="60" w16cid:durableId="1864662322">
    <w:abstractNumId w:val="22"/>
  </w:num>
  <w:num w:numId="61" w16cid:durableId="1907491911">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6"/>
    <w:rsid w:val="00063B33"/>
    <w:rsid w:val="002D464D"/>
    <w:rsid w:val="003166F7"/>
    <w:rsid w:val="00394565"/>
    <w:rsid w:val="00447AFF"/>
    <w:rsid w:val="00573738"/>
    <w:rsid w:val="005B5164"/>
    <w:rsid w:val="005D25D4"/>
    <w:rsid w:val="0064164F"/>
    <w:rsid w:val="00696436"/>
    <w:rsid w:val="0070514E"/>
    <w:rsid w:val="00755386"/>
    <w:rsid w:val="00771D82"/>
    <w:rsid w:val="00774BF2"/>
    <w:rsid w:val="00791C36"/>
    <w:rsid w:val="007A50AD"/>
    <w:rsid w:val="007B536F"/>
    <w:rsid w:val="007C0A08"/>
    <w:rsid w:val="007D4217"/>
    <w:rsid w:val="00922037"/>
    <w:rsid w:val="009B420B"/>
    <w:rsid w:val="00A92479"/>
    <w:rsid w:val="00B357AE"/>
    <w:rsid w:val="00B73FFF"/>
    <w:rsid w:val="00CA1B92"/>
    <w:rsid w:val="00CC489C"/>
    <w:rsid w:val="00D36842"/>
    <w:rsid w:val="00E96FDB"/>
    <w:rsid w:val="00EC7870"/>
    <w:rsid w:val="00F028A4"/>
    <w:rsid w:val="00FA76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2227"/>
  <w15:chartTrackingRefBased/>
  <w15:docId w15:val="{1AE9C259-BC6F-4E09-801D-CDC88DCC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4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4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4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4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436"/>
    <w:rPr>
      <w:rFonts w:eastAsiaTheme="majorEastAsia" w:cstheme="majorBidi"/>
      <w:color w:val="272727" w:themeColor="text1" w:themeTint="D8"/>
    </w:rPr>
  </w:style>
  <w:style w:type="paragraph" w:styleId="Title">
    <w:name w:val="Title"/>
    <w:basedOn w:val="Normal"/>
    <w:next w:val="Normal"/>
    <w:link w:val="TitleChar"/>
    <w:uiPriority w:val="10"/>
    <w:qFormat/>
    <w:rsid w:val="0069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436"/>
    <w:pPr>
      <w:spacing w:before="160"/>
      <w:jc w:val="center"/>
    </w:pPr>
    <w:rPr>
      <w:i/>
      <w:iCs/>
      <w:color w:val="404040" w:themeColor="text1" w:themeTint="BF"/>
    </w:rPr>
  </w:style>
  <w:style w:type="character" w:customStyle="1" w:styleId="QuoteChar">
    <w:name w:val="Quote Char"/>
    <w:basedOn w:val="DefaultParagraphFont"/>
    <w:link w:val="Quote"/>
    <w:uiPriority w:val="29"/>
    <w:rsid w:val="00696436"/>
    <w:rPr>
      <w:i/>
      <w:iCs/>
      <w:color w:val="404040" w:themeColor="text1" w:themeTint="BF"/>
    </w:rPr>
  </w:style>
  <w:style w:type="paragraph" w:styleId="ListParagraph">
    <w:name w:val="List Paragraph"/>
    <w:basedOn w:val="Normal"/>
    <w:uiPriority w:val="34"/>
    <w:qFormat/>
    <w:rsid w:val="00696436"/>
    <w:pPr>
      <w:ind w:left="720"/>
      <w:contextualSpacing/>
    </w:pPr>
  </w:style>
  <w:style w:type="character" w:styleId="IntenseEmphasis">
    <w:name w:val="Intense Emphasis"/>
    <w:basedOn w:val="DefaultParagraphFont"/>
    <w:uiPriority w:val="21"/>
    <w:qFormat/>
    <w:rsid w:val="00696436"/>
    <w:rPr>
      <w:i/>
      <w:iCs/>
      <w:color w:val="2F5496" w:themeColor="accent1" w:themeShade="BF"/>
    </w:rPr>
  </w:style>
  <w:style w:type="paragraph" w:styleId="IntenseQuote">
    <w:name w:val="Intense Quote"/>
    <w:basedOn w:val="Normal"/>
    <w:next w:val="Normal"/>
    <w:link w:val="IntenseQuoteChar"/>
    <w:uiPriority w:val="30"/>
    <w:qFormat/>
    <w:rsid w:val="00696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436"/>
    <w:rPr>
      <w:i/>
      <w:iCs/>
      <w:color w:val="2F5496" w:themeColor="accent1" w:themeShade="BF"/>
    </w:rPr>
  </w:style>
  <w:style w:type="character" w:styleId="IntenseReference">
    <w:name w:val="Intense Reference"/>
    <w:basedOn w:val="DefaultParagraphFont"/>
    <w:uiPriority w:val="32"/>
    <w:qFormat/>
    <w:rsid w:val="00696436"/>
    <w:rPr>
      <w:b/>
      <w:bCs/>
      <w:smallCaps/>
      <w:color w:val="2F5496" w:themeColor="accent1" w:themeShade="BF"/>
      <w:spacing w:val="5"/>
    </w:rPr>
  </w:style>
  <w:style w:type="character" w:styleId="Hyperlink">
    <w:name w:val="Hyperlink"/>
    <w:basedOn w:val="DefaultParagraphFont"/>
    <w:uiPriority w:val="99"/>
    <w:unhideWhenUsed/>
    <w:rsid w:val="00922037"/>
    <w:rPr>
      <w:color w:val="0563C1" w:themeColor="hyperlink"/>
      <w:u w:val="single"/>
    </w:rPr>
  </w:style>
  <w:style w:type="character" w:styleId="UnresolvedMention">
    <w:name w:val="Unresolved Mention"/>
    <w:basedOn w:val="DefaultParagraphFont"/>
    <w:uiPriority w:val="99"/>
    <w:semiHidden/>
    <w:unhideWhenUsed/>
    <w:rsid w:val="00922037"/>
    <w:rPr>
      <w:color w:val="605E5C"/>
      <w:shd w:val="clear" w:color="auto" w:fill="E1DFDD"/>
    </w:rPr>
  </w:style>
  <w:style w:type="paragraph" w:customStyle="1" w:styleId="my-2">
    <w:name w:val="my-2"/>
    <w:basedOn w:val="Normal"/>
    <w:rsid w:val="007B536F"/>
    <w:pPr>
      <w:spacing w:before="100" w:beforeAutospacing="1" w:after="100" w:afterAutospacing="1" w:line="240" w:lineRule="auto"/>
    </w:pPr>
    <w:rPr>
      <w:rFonts w:ascii="Times New Roman" w:eastAsia="Times New Roman" w:hAnsi="Times New Roman" w:cs="Times New Roman"/>
      <w:kern w:val="0"/>
      <w:sz w:val="24"/>
      <w:szCs w:val="24"/>
      <w:lang w:eastAsia="en-IN" w:bidi="as-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600194">
      <w:bodyDiv w:val="1"/>
      <w:marLeft w:val="0"/>
      <w:marRight w:val="0"/>
      <w:marTop w:val="0"/>
      <w:marBottom w:val="0"/>
      <w:divBdr>
        <w:top w:val="none" w:sz="0" w:space="0" w:color="auto"/>
        <w:left w:val="none" w:sz="0" w:space="0" w:color="auto"/>
        <w:bottom w:val="none" w:sz="0" w:space="0" w:color="auto"/>
        <w:right w:val="none" w:sz="0" w:space="0" w:color="auto"/>
      </w:divBdr>
      <w:divsChild>
        <w:div w:id="1099376997">
          <w:marLeft w:val="0"/>
          <w:marRight w:val="0"/>
          <w:marTop w:val="0"/>
          <w:marBottom w:val="0"/>
          <w:divBdr>
            <w:top w:val="none" w:sz="0" w:space="0" w:color="auto"/>
            <w:left w:val="none" w:sz="0" w:space="0" w:color="auto"/>
            <w:bottom w:val="none" w:sz="0" w:space="0" w:color="auto"/>
            <w:right w:val="none" w:sz="0" w:space="0" w:color="auto"/>
          </w:divBdr>
        </w:div>
      </w:divsChild>
    </w:div>
    <w:div w:id="692003182">
      <w:bodyDiv w:val="1"/>
      <w:marLeft w:val="0"/>
      <w:marRight w:val="0"/>
      <w:marTop w:val="0"/>
      <w:marBottom w:val="0"/>
      <w:divBdr>
        <w:top w:val="none" w:sz="0" w:space="0" w:color="auto"/>
        <w:left w:val="none" w:sz="0" w:space="0" w:color="auto"/>
        <w:bottom w:val="none" w:sz="0" w:space="0" w:color="auto"/>
        <w:right w:val="none" w:sz="0" w:space="0" w:color="auto"/>
      </w:divBdr>
    </w:div>
    <w:div w:id="892496758">
      <w:bodyDiv w:val="1"/>
      <w:marLeft w:val="0"/>
      <w:marRight w:val="0"/>
      <w:marTop w:val="0"/>
      <w:marBottom w:val="0"/>
      <w:divBdr>
        <w:top w:val="none" w:sz="0" w:space="0" w:color="auto"/>
        <w:left w:val="none" w:sz="0" w:space="0" w:color="auto"/>
        <w:bottom w:val="none" w:sz="0" w:space="0" w:color="auto"/>
        <w:right w:val="none" w:sz="0" w:space="0" w:color="auto"/>
      </w:divBdr>
      <w:divsChild>
        <w:div w:id="547491969">
          <w:marLeft w:val="0"/>
          <w:marRight w:val="0"/>
          <w:marTop w:val="0"/>
          <w:marBottom w:val="0"/>
          <w:divBdr>
            <w:top w:val="none" w:sz="0" w:space="0" w:color="auto"/>
            <w:left w:val="none" w:sz="0" w:space="0" w:color="auto"/>
            <w:bottom w:val="none" w:sz="0" w:space="0" w:color="auto"/>
            <w:right w:val="none" w:sz="0" w:space="0" w:color="auto"/>
          </w:divBdr>
        </w:div>
      </w:divsChild>
    </w:div>
    <w:div w:id="930549397">
      <w:bodyDiv w:val="1"/>
      <w:marLeft w:val="0"/>
      <w:marRight w:val="0"/>
      <w:marTop w:val="0"/>
      <w:marBottom w:val="0"/>
      <w:divBdr>
        <w:top w:val="none" w:sz="0" w:space="0" w:color="auto"/>
        <w:left w:val="none" w:sz="0" w:space="0" w:color="auto"/>
        <w:bottom w:val="none" w:sz="0" w:space="0" w:color="auto"/>
        <w:right w:val="none" w:sz="0" w:space="0" w:color="auto"/>
      </w:divBdr>
      <w:divsChild>
        <w:div w:id="1238636187">
          <w:marLeft w:val="0"/>
          <w:marRight w:val="0"/>
          <w:marTop w:val="0"/>
          <w:marBottom w:val="0"/>
          <w:divBdr>
            <w:top w:val="none" w:sz="0" w:space="0" w:color="auto"/>
            <w:left w:val="none" w:sz="0" w:space="0" w:color="auto"/>
            <w:bottom w:val="none" w:sz="0" w:space="0" w:color="auto"/>
            <w:right w:val="none" w:sz="0" w:space="0" w:color="auto"/>
          </w:divBdr>
        </w:div>
      </w:divsChild>
    </w:div>
    <w:div w:id="1354769442">
      <w:bodyDiv w:val="1"/>
      <w:marLeft w:val="0"/>
      <w:marRight w:val="0"/>
      <w:marTop w:val="0"/>
      <w:marBottom w:val="0"/>
      <w:divBdr>
        <w:top w:val="none" w:sz="0" w:space="0" w:color="auto"/>
        <w:left w:val="none" w:sz="0" w:space="0" w:color="auto"/>
        <w:bottom w:val="none" w:sz="0" w:space="0" w:color="auto"/>
        <w:right w:val="none" w:sz="0" w:space="0" w:color="auto"/>
      </w:divBdr>
    </w:div>
    <w:div w:id="1660158713">
      <w:bodyDiv w:val="1"/>
      <w:marLeft w:val="0"/>
      <w:marRight w:val="0"/>
      <w:marTop w:val="0"/>
      <w:marBottom w:val="0"/>
      <w:divBdr>
        <w:top w:val="none" w:sz="0" w:space="0" w:color="auto"/>
        <w:left w:val="none" w:sz="0" w:space="0" w:color="auto"/>
        <w:bottom w:val="none" w:sz="0" w:space="0" w:color="auto"/>
        <w:right w:val="none" w:sz="0" w:space="0" w:color="auto"/>
      </w:divBdr>
    </w:div>
    <w:div w:id="1664233269">
      <w:bodyDiv w:val="1"/>
      <w:marLeft w:val="0"/>
      <w:marRight w:val="0"/>
      <w:marTop w:val="0"/>
      <w:marBottom w:val="0"/>
      <w:divBdr>
        <w:top w:val="none" w:sz="0" w:space="0" w:color="auto"/>
        <w:left w:val="none" w:sz="0" w:space="0" w:color="auto"/>
        <w:bottom w:val="none" w:sz="0" w:space="0" w:color="auto"/>
        <w:right w:val="none" w:sz="0" w:space="0" w:color="auto"/>
      </w:divBdr>
      <w:divsChild>
        <w:div w:id="990719629">
          <w:marLeft w:val="0"/>
          <w:marRight w:val="0"/>
          <w:marTop w:val="0"/>
          <w:marBottom w:val="0"/>
          <w:divBdr>
            <w:top w:val="none" w:sz="0" w:space="0" w:color="auto"/>
            <w:left w:val="none" w:sz="0" w:space="0" w:color="auto"/>
            <w:bottom w:val="none" w:sz="0" w:space="0" w:color="auto"/>
            <w:right w:val="none" w:sz="0" w:space="0" w:color="auto"/>
          </w:divBdr>
        </w:div>
      </w:divsChild>
    </w:div>
    <w:div w:id="1696540626">
      <w:bodyDiv w:val="1"/>
      <w:marLeft w:val="0"/>
      <w:marRight w:val="0"/>
      <w:marTop w:val="0"/>
      <w:marBottom w:val="0"/>
      <w:divBdr>
        <w:top w:val="none" w:sz="0" w:space="0" w:color="auto"/>
        <w:left w:val="none" w:sz="0" w:space="0" w:color="auto"/>
        <w:bottom w:val="none" w:sz="0" w:space="0" w:color="auto"/>
        <w:right w:val="none" w:sz="0" w:space="0" w:color="auto"/>
      </w:divBdr>
      <w:divsChild>
        <w:div w:id="1697585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kumar</dc:creator>
  <cp:keywords/>
  <dc:description/>
  <cp:lastModifiedBy>jitesh kumar</cp:lastModifiedBy>
  <cp:revision>24</cp:revision>
  <dcterms:created xsi:type="dcterms:W3CDTF">2025-04-06T17:03:00Z</dcterms:created>
  <dcterms:modified xsi:type="dcterms:W3CDTF">2025-08-26T19:34:00Z</dcterms:modified>
</cp:coreProperties>
</file>