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BC1C" w14:textId="77777777" w:rsidR="00380F0B" w:rsidRDefault="00000000"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>PREYAS RAVAL</w:t>
      </w:r>
    </w:p>
    <w:p w14:paraId="2A4B3A44" w14:textId="77777777" w:rsidR="00380F0B" w:rsidRDefault="00000000">
      <w:pPr>
        <w:spacing w:after="20"/>
        <w:jc w:val="center"/>
      </w:pPr>
      <w:r>
        <w:t xml:space="preserve">Sydney, </w:t>
      </w:r>
      <w:proofErr w:type="gramStart"/>
      <w:r>
        <w:t>Australia  |</w:t>
      </w:r>
      <w:proofErr w:type="gramEnd"/>
      <w:r>
        <w:t xml:space="preserve">  0448 140 </w:t>
      </w:r>
      <w:proofErr w:type="gramStart"/>
      <w:r>
        <w:t>521  |</w:t>
      </w:r>
      <w:proofErr w:type="gramEnd"/>
      <w:r>
        <w:t xml:space="preserve">  </w:t>
      </w:r>
      <w:proofErr w:type="gramStart"/>
      <w:r>
        <w:t>preyas.raval@gmail.com  |</w:t>
      </w:r>
      <w:proofErr w:type="gramEnd"/>
      <w:r>
        <w:t xml:space="preserve">  Australian Citizen</w:t>
      </w:r>
    </w:p>
    <w:p w14:paraId="2307101B" w14:textId="77777777" w:rsidR="00380F0B" w:rsidRDefault="00000000">
      <w:pPr>
        <w:spacing w:after="20"/>
        <w:jc w:val="center"/>
      </w:pPr>
      <w:r>
        <w:rPr>
          <w:b/>
          <w:bCs/>
          <w:color w:val="1F3864"/>
          <w:sz w:val="21"/>
          <w:szCs w:val="21"/>
        </w:rPr>
        <w:t xml:space="preserve">Product and Platform </w:t>
      </w:r>
      <w:proofErr w:type="gramStart"/>
      <w:r>
        <w:rPr>
          <w:b/>
          <w:bCs/>
          <w:color w:val="1F3864"/>
          <w:sz w:val="21"/>
          <w:szCs w:val="21"/>
        </w:rPr>
        <w:t>Leader  |</w:t>
      </w:r>
      <w:proofErr w:type="gramEnd"/>
      <w:r>
        <w:rPr>
          <w:b/>
          <w:bCs/>
          <w:color w:val="1F3864"/>
          <w:sz w:val="21"/>
          <w:szCs w:val="21"/>
        </w:rPr>
        <w:t xml:space="preserve">  Financial Services Platforms, Data and </w:t>
      </w:r>
      <w:proofErr w:type="gramStart"/>
      <w:r>
        <w:rPr>
          <w:b/>
          <w:bCs/>
          <w:color w:val="1F3864"/>
          <w:sz w:val="21"/>
          <w:szCs w:val="21"/>
        </w:rPr>
        <w:t>Connectivity  |</w:t>
      </w:r>
      <w:proofErr w:type="gramEnd"/>
      <w:r>
        <w:rPr>
          <w:b/>
          <w:bCs/>
          <w:color w:val="1F3864"/>
          <w:sz w:val="21"/>
          <w:szCs w:val="21"/>
        </w:rPr>
        <w:t xml:space="preserve">  Client Adoption</w:t>
      </w:r>
    </w:p>
    <w:p w14:paraId="6101A7A2" w14:textId="77777777" w:rsidR="00380F0B" w:rsidRDefault="00000000">
      <w:pPr>
        <w:spacing w:after="60"/>
        <w:jc w:val="center"/>
      </w:pPr>
      <w:proofErr w:type="gramStart"/>
      <w:r>
        <w:rPr>
          <w:color w:val="595959"/>
          <w:sz w:val="19"/>
          <w:szCs w:val="19"/>
        </w:rPr>
        <w:t>ASX  •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>Macquarie  •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>UBS  •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>Barclays  •</w:t>
      </w:r>
      <w:proofErr w:type="gramEnd"/>
      <w:r>
        <w:rPr>
          <w:color w:val="595959"/>
          <w:sz w:val="19"/>
          <w:szCs w:val="19"/>
        </w:rPr>
        <w:t xml:space="preserve">  JP </w:t>
      </w:r>
      <w:proofErr w:type="gramStart"/>
      <w:r>
        <w:rPr>
          <w:color w:val="595959"/>
          <w:sz w:val="19"/>
          <w:szCs w:val="19"/>
        </w:rPr>
        <w:t>Morgan  •</w:t>
      </w:r>
      <w:proofErr w:type="gramEnd"/>
      <w:r>
        <w:rPr>
          <w:color w:val="595959"/>
          <w:sz w:val="19"/>
          <w:szCs w:val="19"/>
        </w:rPr>
        <w:t xml:space="preserve">  Merrill Lynch</w:t>
      </w:r>
    </w:p>
    <w:p w14:paraId="1788EB2A" w14:textId="77777777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PROFILE</w:t>
      </w:r>
    </w:p>
    <w:p w14:paraId="7AB260A7" w14:textId="77777777" w:rsidR="00380F0B" w:rsidRDefault="00000000">
      <w:pPr>
        <w:spacing w:after="45"/>
      </w:pPr>
      <w:r>
        <w:t xml:space="preserve">Client-focused product and platform leader with </w:t>
      </w:r>
      <w:r>
        <w:rPr>
          <w:b/>
          <w:bCs/>
        </w:rPr>
        <w:t>20+ years in financial services</w:t>
      </w:r>
      <w:r>
        <w:t xml:space="preserve"> across Australia, the UK, US and Asia. At UBS, owned the </w:t>
      </w:r>
      <w:r>
        <w:rPr>
          <w:b/>
          <w:bCs/>
        </w:rPr>
        <w:t>global Fixed Income reference data platform</w:t>
      </w:r>
      <w:r>
        <w:t xml:space="preserve"> — the golden source consumed by trading, risk, regulatory reporting and downstream systems — and led </w:t>
      </w:r>
      <w:r>
        <w:rPr>
          <w:b/>
          <w:bCs/>
        </w:rPr>
        <w:t>global regulatory initiatives across Equities, Fixed Income and Derivatives</w:t>
      </w:r>
      <w:r>
        <w:t xml:space="preserve">, after two years owning the </w:t>
      </w:r>
      <w:r>
        <w:rPr>
          <w:b/>
          <w:bCs/>
        </w:rPr>
        <w:t>risk reporting platform</w:t>
      </w:r>
      <w:r>
        <w:t xml:space="preserve">. At ASX, lead </w:t>
      </w:r>
      <w:r>
        <w:rPr>
          <w:b/>
          <w:bCs/>
        </w:rPr>
        <w:t>market discovery and go-to-market strategy for a new $31M bond and repo clearing offering</w:t>
      </w:r>
      <w:r>
        <w:t xml:space="preserve">, platform change </w:t>
      </w:r>
      <w:r>
        <w:rPr>
          <w:b/>
          <w:bCs/>
        </w:rPr>
        <w:t>adopted by every Australian market participant</w:t>
      </w:r>
      <w:r>
        <w:t xml:space="preserve">, product discovery with institutional clients, and formal representation in </w:t>
      </w:r>
      <w:r>
        <w:rPr>
          <w:b/>
          <w:bCs/>
        </w:rPr>
        <w:t>industry working groups</w:t>
      </w:r>
      <w:r>
        <w:t xml:space="preserve"> — with </w:t>
      </w:r>
      <w:r>
        <w:rPr>
          <w:b/>
          <w:bCs/>
        </w:rPr>
        <w:t>$37.5M currently in flight and c. $56M delivered since June 2024</w:t>
      </w:r>
      <w:r>
        <w:t>. Experienced in turning digital platforms, connectivity, data and emerging AI capability into outcomes clients adopt, while managing commercial, regulatory and delivery risk.</w:t>
      </w:r>
    </w:p>
    <w:p w14:paraId="2832E1ED" w14:textId="77777777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SELECTED ACHIEVEMENTS</w:t>
      </w:r>
    </w:p>
    <w:p w14:paraId="4312134B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Market discovery and go-to-market</w:t>
      </w:r>
      <w:r>
        <w:t xml:space="preserve"> for a new $31M bond and repo clearing offering, with engagement across ASIC, the RBA, Legal and platform vendor Nasdaq</w:t>
      </w:r>
    </w:p>
    <w:p w14:paraId="277B080D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Presented go-live approval to C-suite and the ASX Board</w:t>
      </w:r>
      <w:r>
        <w:t xml:space="preserve"> for the FIX–CHESS Gateway, a critical enabler of CHESS Release 1 — the Australian industry's largest post-trade transformation</w:t>
      </w:r>
    </w:p>
    <w:p w14:paraId="35F0B27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Platform change adopted by every trading participant</w:t>
      </w:r>
      <w:r>
        <w:t xml:space="preserve"> in the Australian cash equities market through Service Release 15</w:t>
      </w:r>
    </w:p>
    <w:p w14:paraId="6DFB4D9A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Negotiated a 20% reduction</w:t>
      </w:r>
      <w:r>
        <w:t xml:space="preserve"> on an international vendor SOW under a Tokyo Stock Exchange–Fujitsu partnership while preserving scope</w:t>
      </w:r>
    </w:p>
    <w:p w14:paraId="5CDD0CF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US$900K in savings</w:t>
      </w:r>
      <w:r>
        <w:t xml:space="preserve"> by replacing Excel-based risk model processes with a fully automated platform at UBS</w:t>
      </w:r>
    </w:p>
    <w:p w14:paraId="27487CD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Scaled a golden-source data platform to 20M records and 200 downstream consumers</w:t>
      </w:r>
      <w:r>
        <w:t xml:space="preserve"> across the bank</w:t>
      </w:r>
    </w:p>
    <w:p w14:paraId="22E8F9CD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Barclays Investment Bank Excellence Award</w:t>
      </w:r>
      <w:r>
        <w:t xml:space="preserve"> and </w:t>
      </w:r>
      <w:r>
        <w:rPr>
          <w:b/>
          <w:bCs/>
        </w:rPr>
        <w:t>JP Morgan Team Award for Excellence in Delivery</w:t>
      </w:r>
    </w:p>
    <w:p w14:paraId="5EC3F6D3" w14:textId="77777777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ALIGNMENT TO THIS ROLE</w:t>
      </w:r>
    </w:p>
    <w:p w14:paraId="1EE0F63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Product management and platform ownership:</w:t>
      </w:r>
      <w:r>
        <w:t xml:space="preserve"> defined product vision, strategy and roadmap aligned to OKRs; prioritised backlogs; owned shared platforms end to end — including production stability and client experience — leading complex, cross-functional teams across business, technology and operations</w:t>
      </w:r>
    </w:p>
    <w:p w14:paraId="37515ABE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Market discovery and go-to-market:</w:t>
      </w:r>
      <w:r>
        <w:t xml:space="preserve"> leading market discovery, industry engagement and sales strategy for a new $31M bond and repo clearing offering; product discovery with investors, liquidity providers and brokers for a new trading platform; global trader workshops at JP Morgan across seven locations</w:t>
      </w:r>
    </w:p>
    <w:p w14:paraId="4712F38E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Driving adoption across client segments:</w:t>
      </w:r>
      <w:r>
        <w:t xml:space="preserve"> led platform changes adopted by every trading participant in the Australian market — brokers, institutions and market makers — through industry-wide testing and readiness programs; supported external client onboarding</w:t>
      </w:r>
    </w:p>
    <w:p w14:paraId="3D1661D5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Connectivity and integration:</w:t>
      </w:r>
      <w:r>
        <w:t xml:space="preserve"> message-based (FIX) and file-based (SFTP) connectivity between market systems; client and exchange connectivity validation at JP Morgan — directly relevant to API, host-to-host and ERP integration</w:t>
      </w:r>
    </w:p>
    <w:p w14:paraId="1EB3FAA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Data and AI:</w:t>
      </w:r>
      <w:r>
        <w:t xml:space="preserve"> golden-source data platform serving </w:t>
      </w:r>
      <w:r>
        <w:rPr>
          <w:b/>
          <w:bCs/>
        </w:rPr>
        <w:t>200 downstream consumers and 20M records</w:t>
      </w:r>
      <w:r>
        <w:t>; data strategy aligned to a 2–</w:t>
      </w:r>
      <w:proofErr w:type="gramStart"/>
      <w:r>
        <w:t>3 year</w:t>
      </w:r>
      <w:proofErr w:type="gramEnd"/>
      <w:r>
        <w:t xml:space="preserve"> cloud migration; chair the ASX Markets Data Working Group; studying Generative AI (Duke University)</w:t>
      </w:r>
    </w:p>
    <w:p w14:paraId="79A39D1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Commercial, financial and risk management:</w:t>
      </w:r>
      <w:r>
        <w:t xml:space="preserve"> business cases through Board approval; negotiated a vendor SOW to a </w:t>
      </w:r>
      <w:r>
        <w:rPr>
          <w:b/>
          <w:bCs/>
        </w:rPr>
        <w:t>20% cost reduction</w:t>
      </w:r>
      <w:r>
        <w:t xml:space="preserve">; managed USD 5–7M program budgets; delivered </w:t>
      </w:r>
      <w:r>
        <w:rPr>
          <w:b/>
          <w:bCs/>
        </w:rPr>
        <w:t>US$900K in savings</w:t>
      </w:r>
      <w:r>
        <w:t>; built performance measures that lifted commission revenue</w:t>
      </w:r>
    </w:p>
    <w:p w14:paraId="14CDDBE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Industry and regulatory:</w:t>
      </w:r>
      <w:r>
        <w:t xml:space="preserve"> formal ASX representative in industry forums with other market operators; engagement with </w:t>
      </w:r>
      <w:r>
        <w:rPr>
          <w:b/>
          <w:bCs/>
        </w:rPr>
        <w:t>ASIC and the RBA</w:t>
      </w:r>
      <w:r>
        <w:t xml:space="preserve"> on new-product regulatory pathways; regulatory delivery across CCAR, FINFRAG, BCBS 239, SFTR, MiFID II, ESMA, HKMA, ASIC, MAS and CFTC</w:t>
      </w:r>
    </w:p>
    <w:p w14:paraId="0C105E26" w14:textId="77777777" w:rsidR="002F6E85" w:rsidRDefault="002F6E85">
      <w:pPr>
        <w:pBdr>
          <w:bottom w:val="single" w:sz="6" w:space="2" w:color="1F3864"/>
        </w:pBdr>
        <w:spacing w:before="200" w:after="70"/>
        <w:rPr>
          <w:b/>
          <w:bCs/>
          <w:color w:val="1F3864"/>
          <w:sz w:val="22"/>
          <w:szCs w:val="22"/>
        </w:rPr>
      </w:pPr>
    </w:p>
    <w:p w14:paraId="38796237" w14:textId="7DE66DD4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23B9AE26" w14:textId="77777777" w:rsidR="00380F0B" w:rsidRPr="002F6E85" w:rsidRDefault="00000000">
      <w:pPr>
        <w:tabs>
          <w:tab w:val="right" w:pos="9026"/>
        </w:tabs>
        <w:spacing w:before="150" w:after="35"/>
        <w:rPr>
          <w:color w:val="5B9BD5" w:themeColor="accent5"/>
        </w:rPr>
      </w:pPr>
      <w:r w:rsidRPr="002F6E85">
        <w:rPr>
          <w:b/>
          <w:bCs/>
          <w:color w:val="5B9BD5" w:themeColor="accent5"/>
          <w:sz w:val="21"/>
          <w:szCs w:val="21"/>
        </w:rPr>
        <w:t>Project Manager — ASX, Sydney</w:t>
      </w:r>
      <w:r w:rsidRPr="002F6E85">
        <w:rPr>
          <w:b/>
          <w:bCs/>
          <w:color w:val="5B9BD5" w:themeColor="accent5"/>
        </w:rPr>
        <w:tab/>
        <w:t>Jun 2024 – Present</w:t>
      </w:r>
    </w:p>
    <w:p w14:paraId="255ABD4D" w14:textId="77777777" w:rsidR="00380F0B" w:rsidRDefault="00000000">
      <w:pPr>
        <w:spacing w:after="45"/>
      </w:pPr>
      <w:r>
        <w:t>Lead new product capability and platform change across Australia's market infrastructure — trading, clearing and settlement, and data. Direct business analysts, workstream and delivery leads, with a contract Delivery Manager reporting to me. Own governance, reporting and escalation into executive forums including Portfolio Business Review, Monthly Business Review and Quarterly Planning; author business cases through Board approval.</w:t>
      </w:r>
    </w:p>
    <w:p w14:paraId="251CF01E" w14:textId="77777777" w:rsidR="00380F0B" w:rsidRDefault="00000000">
      <w:pPr>
        <w:spacing w:before="90" w:after="25"/>
      </w:pPr>
      <w:r>
        <w:rPr>
          <w:b/>
          <w:bCs/>
          <w:i/>
          <w:iCs/>
        </w:rPr>
        <w:lastRenderedPageBreak/>
        <w:t>Bond and Repo Clearing — new product commercialisation ($31M, Jun 2026 – present)</w:t>
      </w:r>
    </w:p>
    <w:p w14:paraId="62346AC4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Leading a new asset-class offering from </w:t>
      </w:r>
      <w:r>
        <w:rPr>
          <w:b/>
          <w:bCs/>
        </w:rPr>
        <w:t>market discovery through business case</w:t>
      </w:r>
      <w:r>
        <w:t xml:space="preserve"> — designing the industry engagement and sales strategy with market participants and shaping the client value proposition</w:t>
      </w:r>
    </w:p>
    <w:p w14:paraId="0FF0C011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Authoring the </w:t>
      </w:r>
      <w:r>
        <w:rPr>
          <w:b/>
          <w:bCs/>
        </w:rPr>
        <w:t>business case for Board approval</w:t>
      </w:r>
      <w:r>
        <w:t>, spanning product, benefits, commercial, legal, procurement, architecture, operations and data dimensions</w:t>
      </w:r>
    </w:p>
    <w:p w14:paraId="2204FE01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Engaging </w:t>
      </w:r>
      <w:r>
        <w:rPr>
          <w:b/>
          <w:bCs/>
        </w:rPr>
        <w:t>ASIC and the RBA</w:t>
      </w:r>
      <w:r>
        <w:t xml:space="preserve"> on the regulatory pathway, working with Legal; managing platform vendor </w:t>
      </w:r>
      <w:r>
        <w:rPr>
          <w:b/>
          <w:bCs/>
        </w:rPr>
        <w:t>Nasdaq</w:t>
      </w:r>
      <w:r>
        <w:t xml:space="preserve"> and consulting partner Davies</w:t>
      </w:r>
    </w:p>
    <w:p w14:paraId="34913E30" w14:textId="77777777" w:rsidR="00380F0B" w:rsidRDefault="00000000">
      <w:pPr>
        <w:spacing w:before="90" w:after="25"/>
      </w:pPr>
      <w:r>
        <w:rPr>
          <w:b/>
          <w:bCs/>
          <w:i/>
          <w:iCs/>
        </w:rPr>
        <w:t>RFQ Platform — product discovery and partnership ($6.5M, Jun 2025 – present)</w:t>
      </w:r>
    </w:p>
    <w:p w14:paraId="430B786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Own ASX delivery of a SaaS request-for-quote trading platform under a tri-party partnership with the </w:t>
      </w:r>
      <w:r>
        <w:rPr>
          <w:b/>
          <w:bCs/>
        </w:rPr>
        <w:t>Tokyo Stock Exchange and Fujitsu</w:t>
      </w:r>
      <w:r>
        <w:t>, from MOU signing onward</w:t>
      </w:r>
    </w:p>
    <w:p w14:paraId="2A16CD6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Ran </w:t>
      </w:r>
      <w:r>
        <w:rPr>
          <w:b/>
          <w:bCs/>
        </w:rPr>
        <w:t>product discovery with investors, liquidity providers and brokers</w:t>
      </w:r>
      <w:r>
        <w:t xml:space="preserve"> to shape requirements; evaluated data and platform partners including ICE, IRESS and Tradeweb</w:t>
      </w:r>
    </w:p>
    <w:p w14:paraId="47D2B4EB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Negotiated the vendor SOW to a </w:t>
      </w:r>
      <w:r>
        <w:rPr>
          <w:b/>
          <w:bCs/>
        </w:rPr>
        <w:t>20% cost reduction</w:t>
      </w:r>
      <w:r>
        <w:t xml:space="preserve"> while preserving scope; co-presented the platform to </w:t>
      </w:r>
      <w:r>
        <w:rPr>
          <w:b/>
          <w:bCs/>
        </w:rPr>
        <w:t>ASIC</w:t>
      </w:r>
      <w:r>
        <w:t>; reshaped the roadmap when regulatory direction changed rather than defending the original plan</w:t>
      </w:r>
    </w:p>
    <w:p w14:paraId="797386AA" w14:textId="77777777" w:rsidR="00380F0B" w:rsidRDefault="00000000">
      <w:pPr>
        <w:spacing w:before="90" w:after="25"/>
      </w:pPr>
      <w:r>
        <w:rPr>
          <w:b/>
          <w:bCs/>
          <w:i/>
          <w:iCs/>
        </w:rPr>
        <w:t>FIX–CHESS Gateway — connectivity and resilience ($4M, Dec 2024 – Apr 2026)</w:t>
      </w:r>
    </w:p>
    <w:p w14:paraId="60022C28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End-to-end delivery of </w:t>
      </w:r>
      <w:r>
        <w:rPr>
          <w:b/>
          <w:bCs/>
        </w:rPr>
        <w:t>FIX connectivity</w:t>
      </w:r>
      <w:r>
        <w:t xml:space="preserve"> feeding trades from ASX Trade into </w:t>
      </w:r>
      <w:r>
        <w:rPr>
          <w:b/>
          <w:bCs/>
        </w:rPr>
        <w:t>CHESS clearing and settlement</w:t>
      </w:r>
      <w:r>
        <w:t xml:space="preserve"> — a critical enabler of </w:t>
      </w:r>
      <w:r>
        <w:rPr>
          <w:b/>
          <w:bCs/>
        </w:rPr>
        <w:t>CHESS Release 1</w:t>
      </w:r>
      <w:r>
        <w:t xml:space="preserve"> (live April 2026)</w:t>
      </w:r>
    </w:p>
    <w:p w14:paraId="4E64D2D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Designed an </w:t>
      </w:r>
      <w:r>
        <w:rPr>
          <w:b/>
          <w:bCs/>
        </w:rPr>
        <w:t>SFTP file-based contingency path</w:t>
      </w:r>
      <w:r>
        <w:t xml:space="preserve"> for CHESS outages and an </w:t>
      </w:r>
      <w:r>
        <w:rPr>
          <w:b/>
          <w:bCs/>
        </w:rPr>
        <w:t>automated three-way reconciliation</w:t>
      </w:r>
      <w:r>
        <w:t xml:space="preserve"> across the matching engine, transformation adaptor and CHESS acknowledgements</w:t>
      </w:r>
    </w:p>
    <w:p w14:paraId="0CFA94C6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Formal ASX representative to other market operators (</w:t>
      </w:r>
      <w:proofErr w:type="spellStart"/>
      <w:r>
        <w:t>Cboe</w:t>
      </w:r>
      <w:proofErr w:type="spellEnd"/>
      <w:r>
        <w:t xml:space="preserve">, NSX, SSX); ran industry-wide testing, dress rehearsals and BCP testing; </w:t>
      </w:r>
      <w:r>
        <w:rPr>
          <w:b/>
          <w:bCs/>
        </w:rPr>
        <w:t>presented final go-live approval to C-suite and the ASX Board</w:t>
      </w:r>
    </w:p>
    <w:p w14:paraId="042A28A8" w14:textId="77777777" w:rsidR="00380F0B" w:rsidRDefault="00000000">
      <w:pPr>
        <w:spacing w:before="90" w:after="25"/>
      </w:pPr>
      <w:r>
        <w:rPr>
          <w:b/>
          <w:bCs/>
          <w:i/>
          <w:iCs/>
        </w:rPr>
        <w:t>Service Release 15 — market-wide platform change ($15M, Jun 2024 – Jul 2025)</w:t>
      </w:r>
    </w:p>
    <w:p w14:paraId="60665566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Delivered product changes to Australia's cash equities platform — a </w:t>
      </w:r>
      <w:r>
        <w:rPr>
          <w:b/>
          <w:bCs/>
        </w:rPr>
        <w:t>randomised single opening auction</w:t>
      </w:r>
      <w:r>
        <w:t xml:space="preserve">, a new </w:t>
      </w:r>
      <w:proofErr w:type="gramStart"/>
      <w:r>
        <w:rPr>
          <w:b/>
          <w:bCs/>
        </w:rPr>
        <w:t>Post-Close</w:t>
      </w:r>
      <w:proofErr w:type="gramEnd"/>
      <w:r>
        <w:rPr>
          <w:b/>
          <w:bCs/>
        </w:rPr>
        <w:t xml:space="preserve"> trading session</w:t>
      </w:r>
      <w:r>
        <w:t xml:space="preserve">, and </w:t>
      </w:r>
      <w:r>
        <w:rPr>
          <w:b/>
          <w:bCs/>
        </w:rPr>
        <w:t>simplified block and late trade reporting</w:t>
      </w:r>
      <w:r>
        <w:t xml:space="preserve"> — with protocol changes across FIX, </w:t>
      </w:r>
      <w:proofErr w:type="spellStart"/>
      <w:r>
        <w:t>OMNet</w:t>
      </w:r>
      <w:proofErr w:type="spellEnd"/>
      <w:r>
        <w:t xml:space="preserve"> and OUCH</w:t>
      </w:r>
    </w:p>
    <w:p w14:paraId="50E715E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Drove </w:t>
      </w:r>
      <w:r>
        <w:rPr>
          <w:b/>
          <w:bCs/>
        </w:rPr>
        <w:t>adoption by every trading participant</w:t>
      </w:r>
      <w:r>
        <w:t xml:space="preserve"> through three industry-wide test cycles and continuous defect resolution, run concurrently with the Gateway program</w:t>
      </w:r>
    </w:p>
    <w:p w14:paraId="4C3F1AD3" w14:textId="77777777" w:rsidR="00380F0B" w:rsidRDefault="00000000">
      <w:pPr>
        <w:spacing w:before="90" w:after="25"/>
      </w:pPr>
      <w:r>
        <w:rPr>
          <w:b/>
          <w:bCs/>
          <w:i/>
          <w:iCs/>
        </w:rPr>
        <w:t>Client onboarding, data governance and ways of working</w:t>
      </w:r>
    </w:p>
    <w:p w14:paraId="2BF4F26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Supported </w:t>
      </w:r>
      <w:r>
        <w:rPr>
          <w:b/>
          <w:bCs/>
        </w:rPr>
        <w:t>external client onboarding</w:t>
      </w:r>
      <w:r>
        <w:t xml:space="preserve"> on the ETD </w:t>
      </w:r>
      <w:proofErr w:type="spellStart"/>
      <w:r>
        <w:t>TradeAccept</w:t>
      </w:r>
      <w:proofErr w:type="spellEnd"/>
      <w:r>
        <w:t xml:space="preserve"> replacement, defining client touchpoints with internal systems, and stood up the customer development environment within two weeks</w:t>
      </w:r>
    </w:p>
    <w:p w14:paraId="6F0567BC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Established and chair the </w:t>
      </w:r>
      <w:r>
        <w:rPr>
          <w:b/>
          <w:bCs/>
        </w:rPr>
        <w:t>Markets Data Working Group</w:t>
      </w:r>
      <w:r>
        <w:t xml:space="preserve"> — terms of reference, data ownership and stewardship, and a prioritised backlog feeding the enterprise data platform, laying foundations for analytics and AI</w:t>
      </w:r>
    </w:p>
    <w:p w14:paraId="3D69883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Authored the Trading Services </w:t>
      </w:r>
      <w:r>
        <w:rPr>
          <w:b/>
          <w:bCs/>
        </w:rPr>
        <w:t>delivery playbook</w:t>
      </w:r>
      <w:r>
        <w:t xml:space="preserve"> on Jira Cloud; run hybrid delivery with Scrum of Scrums and cross-LOB integrated planning</w:t>
      </w:r>
    </w:p>
    <w:p w14:paraId="149B75A2" w14:textId="77777777" w:rsidR="00380F0B" w:rsidRDefault="00000000">
      <w:pPr>
        <w:tabs>
          <w:tab w:val="right" w:pos="9026"/>
        </w:tabs>
        <w:spacing w:before="150" w:after="35"/>
      </w:pPr>
      <w:r>
        <w:rPr>
          <w:b/>
          <w:bCs/>
          <w:sz w:val="21"/>
          <w:szCs w:val="21"/>
        </w:rPr>
        <w:t>Senior Manager — Product Manager / Project Manager — Macquarie Group, Sydney</w:t>
      </w:r>
      <w:r>
        <w:rPr>
          <w:b/>
          <w:bCs/>
          <w:color w:val="595959"/>
        </w:rPr>
        <w:tab/>
        <w:t>Aug 2023 – Jan 2024</w:t>
      </w:r>
    </w:p>
    <w:p w14:paraId="2AFC7E8D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Owned the product roadmap and OKRs for </w:t>
      </w:r>
      <w:r>
        <w:rPr>
          <w:b/>
          <w:bCs/>
        </w:rPr>
        <w:t>trade transaction reporting control systems</w:t>
      </w:r>
      <w:r>
        <w:t>, aligning stakeholders across business, operations and technology</w:t>
      </w:r>
    </w:p>
    <w:p w14:paraId="338FB1A1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Managed three concurrent regulatory programs — </w:t>
      </w:r>
      <w:r>
        <w:rPr>
          <w:b/>
          <w:bCs/>
        </w:rPr>
        <w:t>ASIC and MAS Rewrite, CFTC Rewrite and Controls Enhancements</w:t>
      </w:r>
      <w:r>
        <w:t xml:space="preserve"> — across Equities, Fixed Income and Derivatives</w:t>
      </w:r>
    </w:p>
    <w:p w14:paraId="2A9E2F21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Ran data governance working groups with Operations; delivered across Australia, Hong Kong, India and the UK</w:t>
      </w:r>
    </w:p>
    <w:p w14:paraId="59C534B1" w14:textId="77777777" w:rsidR="002F6E85" w:rsidRDefault="002F6E85">
      <w:pPr>
        <w:tabs>
          <w:tab w:val="right" w:pos="9026"/>
        </w:tabs>
        <w:spacing w:before="150" w:after="35"/>
        <w:rPr>
          <w:b/>
          <w:bCs/>
          <w:sz w:val="21"/>
          <w:szCs w:val="21"/>
        </w:rPr>
      </w:pPr>
    </w:p>
    <w:p w14:paraId="1182BCF6" w14:textId="578C0CC4" w:rsidR="00380F0B" w:rsidRPr="002F6E85" w:rsidRDefault="00000000">
      <w:pPr>
        <w:tabs>
          <w:tab w:val="right" w:pos="9026"/>
        </w:tabs>
        <w:spacing w:before="150" w:after="35"/>
        <w:rPr>
          <w:color w:val="5B9BD5" w:themeColor="accent5"/>
        </w:rPr>
      </w:pPr>
      <w:r w:rsidRPr="002F6E85">
        <w:rPr>
          <w:b/>
          <w:bCs/>
          <w:color w:val="5B9BD5" w:themeColor="accent5"/>
          <w:sz w:val="21"/>
          <w:szCs w:val="21"/>
        </w:rPr>
        <w:t>Associate Director — Product Manager, Reference Data and Risk Platforms — UBS</w:t>
      </w:r>
      <w:r w:rsidR="002F6E85">
        <w:rPr>
          <w:b/>
          <w:bCs/>
          <w:color w:val="5B9BD5" w:themeColor="accent5"/>
          <w:sz w:val="21"/>
          <w:szCs w:val="21"/>
        </w:rPr>
        <w:t xml:space="preserve"> Sydney, </w:t>
      </w:r>
      <w:r w:rsidRPr="002F6E85">
        <w:rPr>
          <w:b/>
          <w:bCs/>
          <w:color w:val="5B9BD5" w:themeColor="accent5"/>
        </w:rPr>
        <w:tab/>
        <w:t>Mar 2018 – Jul 2023</w:t>
      </w:r>
    </w:p>
    <w:p w14:paraId="5F97F724" w14:textId="77777777" w:rsidR="00380F0B" w:rsidRDefault="00000000">
      <w:pPr>
        <w:spacing w:before="90" w:after="25"/>
      </w:pPr>
      <w:r>
        <w:rPr>
          <w:b/>
          <w:bCs/>
          <w:i/>
          <w:iCs/>
        </w:rPr>
        <w:t>Enterprise Reference Data (3+ years)</w:t>
      </w:r>
    </w:p>
    <w:p w14:paraId="63F10EB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Owned the global Fixed Income reference data platform</w:t>
      </w:r>
      <w:r>
        <w:t xml:space="preserve"> across the US, UK, EU and APAC — the golden source consumed by trading, risk, regulatory reporting and downstream systems</w:t>
      </w:r>
    </w:p>
    <w:p w14:paraId="31CF9A1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Scaled distribution to </w:t>
      </w:r>
      <w:r>
        <w:rPr>
          <w:b/>
          <w:bCs/>
        </w:rPr>
        <w:t>20M records and 200 downstream consumers</w:t>
      </w:r>
      <w:r>
        <w:t xml:space="preserve">; onboarded vendor data from </w:t>
      </w:r>
      <w:r>
        <w:rPr>
          <w:b/>
          <w:bCs/>
        </w:rPr>
        <w:t>Bloomberg, Reuters and Broadridge</w:t>
      </w:r>
    </w:p>
    <w:p w14:paraId="045742FE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Led global regulatory initiatives across Equities, Fixed Income and Derivatives</w:t>
      </w:r>
      <w:r>
        <w:t xml:space="preserve"> — SFTR, US 1446 tax withholding, Brexit and US T+1 — giving an end-to-end view of the front-to-back business flow</w:t>
      </w:r>
    </w:p>
    <w:p w14:paraId="22B1CD9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Set product vision, strategy and roadmap aligned to OKRs; defined product governance and change control; aligned data strategy to a </w:t>
      </w:r>
      <w:r>
        <w:rPr>
          <w:b/>
          <w:bCs/>
        </w:rPr>
        <w:t>2–</w:t>
      </w:r>
      <w:proofErr w:type="gramStart"/>
      <w:r>
        <w:rPr>
          <w:b/>
          <w:bCs/>
        </w:rPr>
        <w:t>3 year</w:t>
      </w:r>
      <w:proofErr w:type="gramEnd"/>
      <w:r>
        <w:rPr>
          <w:b/>
          <w:bCs/>
        </w:rPr>
        <w:t xml:space="preserve"> cloud migration plan</w:t>
      </w:r>
      <w:r>
        <w:t>; accountable for production stability and service delivery</w:t>
      </w:r>
    </w:p>
    <w:p w14:paraId="1A27C523" w14:textId="77777777" w:rsidR="00380F0B" w:rsidRDefault="00000000">
      <w:pPr>
        <w:spacing w:before="90" w:after="25"/>
      </w:pPr>
      <w:r>
        <w:rPr>
          <w:b/>
          <w:bCs/>
          <w:i/>
          <w:iCs/>
        </w:rPr>
        <w:t>Risk Reporting Platform (2 years)</w:t>
      </w:r>
    </w:p>
    <w:p w14:paraId="02C28F8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Owned the risk reporting platform supporting </w:t>
      </w:r>
      <w:r>
        <w:rPr>
          <w:b/>
          <w:bCs/>
        </w:rPr>
        <w:t>CCAR, FINFRAG and BCBS 239</w:t>
      </w:r>
      <w:r>
        <w:t xml:space="preserve"> — automated firmwide, credit and market risk aggregation and reporting; onboarded new risk scenarios and model attributes</w:t>
      </w:r>
    </w:p>
    <w:p w14:paraId="7D0A0B21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lastRenderedPageBreak/>
        <w:t xml:space="preserve">Migrated Excel-based risk model configuration and runs to a fully automated system — </w:t>
      </w:r>
      <w:r>
        <w:rPr>
          <w:b/>
          <w:bCs/>
        </w:rPr>
        <w:t>US$900K in savings</w:t>
      </w:r>
      <w:r>
        <w:t xml:space="preserve"> while meeting regulatory requirements</w:t>
      </w:r>
    </w:p>
    <w:p w14:paraId="0559FB50" w14:textId="77777777" w:rsidR="00380F0B" w:rsidRDefault="00000000">
      <w:pPr>
        <w:spacing w:before="90" w:after="25"/>
      </w:pPr>
      <w:r>
        <w:rPr>
          <w:b/>
          <w:bCs/>
          <w:i/>
          <w:iCs/>
        </w:rPr>
        <w:t>Across both</w:t>
      </w:r>
    </w:p>
    <w:p w14:paraId="680ADC1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Led a </w:t>
      </w:r>
      <w:r>
        <w:rPr>
          <w:b/>
          <w:bCs/>
        </w:rPr>
        <w:t>50+ member delivery team across multiple vendors</w:t>
      </w:r>
      <w:r>
        <w:t xml:space="preserve"> spanning Australia, Switzerland, the US, UK and India; programs of </w:t>
      </w:r>
      <w:r>
        <w:rPr>
          <w:b/>
          <w:bCs/>
        </w:rPr>
        <w:t>USD 5–7M</w:t>
      </w:r>
      <w:r>
        <w:t>; cost estimation, budget management and Steer Co reporting</w:t>
      </w:r>
    </w:p>
    <w:p w14:paraId="03AA48C2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Solution proposals approved through </w:t>
      </w:r>
      <w:r>
        <w:rPr>
          <w:b/>
          <w:bCs/>
        </w:rPr>
        <w:t>Design Authority</w:t>
      </w:r>
      <w:r>
        <w:t>; data governance working groups with Operations; coached crew leads, stream leads and pods in Agile adoption</w:t>
      </w:r>
    </w:p>
    <w:p w14:paraId="52790681" w14:textId="77777777" w:rsidR="002F6E85" w:rsidRDefault="002F6E85">
      <w:pPr>
        <w:tabs>
          <w:tab w:val="right" w:pos="9026"/>
        </w:tabs>
        <w:spacing w:before="150" w:after="35"/>
        <w:rPr>
          <w:b/>
          <w:bCs/>
          <w:sz w:val="21"/>
          <w:szCs w:val="21"/>
        </w:rPr>
      </w:pPr>
    </w:p>
    <w:p w14:paraId="36B5EB41" w14:textId="32D28D07" w:rsidR="00380F0B" w:rsidRPr="00DE1E83" w:rsidRDefault="00000000">
      <w:pPr>
        <w:tabs>
          <w:tab w:val="right" w:pos="9026"/>
        </w:tabs>
        <w:spacing w:before="150" w:after="35"/>
        <w:rPr>
          <w:color w:val="5B9BD5" w:themeColor="accent5"/>
        </w:rPr>
      </w:pPr>
      <w:r w:rsidRPr="00DE1E83">
        <w:rPr>
          <w:b/>
          <w:bCs/>
          <w:color w:val="5B9BD5" w:themeColor="accent5"/>
          <w:sz w:val="21"/>
          <w:szCs w:val="21"/>
        </w:rPr>
        <w:t>Assistant Vice President — Project Manager / Product Owner — Barclays</w:t>
      </w:r>
      <w:r w:rsidRPr="00DE1E83">
        <w:rPr>
          <w:b/>
          <w:bCs/>
          <w:color w:val="5B9BD5" w:themeColor="accent5"/>
        </w:rPr>
        <w:tab/>
        <w:t>Jan 2015 – Feb 2018</w:t>
      </w:r>
    </w:p>
    <w:p w14:paraId="7C0EFFF7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End-to-end ownership of the </w:t>
      </w:r>
      <w:r>
        <w:rPr>
          <w:b/>
          <w:bCs/>
        </w:rPr>
        <w:t>Equities and OTC Derivatives front-office product suite</w:t>
      </w:r>
      <w:r>
        <w:t xml:space="preserve"> — Options, Equity Swaps, Index Management and Structured Products</w:t>
      </w:r>
    </w:p>
    <w:p w14:paraId="667EA16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Replaced the </w:t>
      </w:r>
      <w:proofErr w:type="spellStart"/>
      <w:r>
        <w:t>Sophis</w:t>
      </w:r>
      <w:proofErr w:type="spellEnd"/>
      <w:r>
        <w:t xml:space="preserve"> vendor platform with an </w:t>
      </w:r>
      <w:r>
        <w:rPr>
          <w:b/>
          <w:bCs/>
        </w:rPr>
        <w:t>in-house global platform</w:t>
      </w:r>
      <w:r>
        <w:t xml:space="preserve"> serving as a front-office derivatives system and a middle-office platform for cash equities flow, cutting licence costs while adding </w:t>
      </w:r>
      <w:r>
        <w:rPr>
          <w:b/>
          <w:bCs/>
        </w:rPr>
        <w:t>trader self-service index creation</w:t>
      </w:r>
    </w:p>
    <w:p w14:paraId="23023A25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Delivered </w:t>
      </w:r>
      <w:r>
        <w:rPr>
          <w:b/>
          <w:bCs/>
        </w:rPr>
        <w:t>HKMA, ESMA and MiFID II</w:t>
      </w:r>
      <w:r>
        <w:t xml:space="preserve"> regulatory programs despite a slow start and changing requirements, avoiding penalties and keeping trading uninterrupted</w:t>
      </w:r>
    </w:p>
    <w:p w14:paraId="277D557D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Direct line management of a team of 10</w:t>
      </w:r>
      <w:r>
        <w:t xml:space="preserve">; Scrum Master for delivery squads; release scoping, UAT and go/no-go decisions; vendor liaison with Fidessa and </w:t>
      </w:r>
      <w:proofErr w:type="spellStart"/>
      <w:r>
        <w:t>Markitwire</w:t>
      </w:r>
      <w:proofErr w:type="spellEnd"/>
    </w:p>
    <w:p w14:paraId="0E457128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Barclays Investment Bank Excellence Award</w:t>
      </w:r>
      <w:r>
        <w:t>; recognised for introducing a delivery model change that reduced time to market</w:t>
      </w:r>
    </w:p>
    <w:p w14:paraId="16F9C19D" w14:textId="77777777" w:rsidR="00DE1E83" w:rsidRDefault="00DE1E83">
      <w:pPr>
        <w:tabs>
          <w:tab w:val="right" w:pos="9026"/>
        </w:tabs>
        <w:spacing w:before="150" w:after="35"/>
        <w:rPr>
          <w:b/>
          <w:bCs/>
          <w:sz w:val="21"/>
          <w:szCs w:val="21"/>
        </w:rPr>
      </w:pPr>
    </w:p>
    <w:p w14:paraId="1912CFB8" w14:textId="43281271" w:rsidR="00380F0B" w:rsidRPr="00DE1E83" w:rsidRDefault="00000000">
      <w:pPr>
        <w:tabs>
          <w:tab w:val="right" w:pos="9026"/>
        </w:tabs>
        <w:spacing w:before="150" w:after="35"/>
        <w:rPr>
          <w:color w:val="5B9BD5" w:themeColor="accent5"/>
        </w:rPr>
      </w:pPr>
      <w:r w:rsidRPr="00DE1E83">
        <w:rPr>
          <w:b/>
          <w:bCs/>
          <w:color w:val="5B9BD5" w:themeColor="accent5"/>
          <w:sz w:val="21"/>
          <w:szCs w:val="21"/>
        </w:rPr>
        <w:t>Associate — Project Manager / Product Owner — JP Morgan Chase</w:t>
      </w:r>
      <w:r w:rsidR="00DE1E83">
        <w:rPr>
          <w:b/>
          <w:bCs/>
          <w:color w:val="5B9BD5" w:themeColor="accent5"/>
          <w:sz w:val="21"/>
          <w:szCs w:val="21"/>
        </w:rPr>
        <w:t xml:space="preserve">, Glasgow, London, Mumbai </w:t>
      </w:r>
      <w:r w:rsidRPr="00DE1E83">
        <w:rPr>
          <w:b/>
          <w:bCs/>
          <w:color w:val="5B9BD5" w:themeColor="accent5"/>
        </w:rPr>
        <w:tab/>
        <w:t>May 2009 – Jan 2015</w:t>
      </w:r>
    </w:p>
    <w:p w14:paraId="01B7849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Consolidated multiple vendor order management platforms into a </w:t>
      </w:r>
      <w:r>
        <w:rPr>
          <w:b/>
          <w:bCs/>
        </w:rPr>
        <w:t>single in-house global platform</w:t>
      </w:r>
      <w:r>
        <w:t xml:space="preserve"> across the US, EMEA and APAC — removing vendor dependency and growing business volume</w:t>
      </w:r>
    </w:p>
    <w:p w14:paraId="78653D0F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Implemented customised user preferences for </w:t>
      </w:r>
      <w:r>
        <w:rPr>
          <w:b/>
          <w:bCs/>
        </w:rPr>
        <w:t>high-touch, low-touch and no-touch flows</w:t>
      </w:r>
      <w:r>
        <w:t xml:space="preserve"> across APAC, EMEA and the US — a highlight of the platform migration</w:t>
      </w:r>
    </w:p>
    <w:p w14:paraId="5EE463DB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Led </w:t>
      </w:r>
      <w:r>
        <w:rPr>
          <w:b/>
          <w:bCs/>
        </w:rPr>
        <w:t>global trader workshops</w:t>
      </w:r>
      <w:r>
        <w:t>, requirements and product demonstrations across New York, London, Singapore, Tokyo, Hong Kong, Australia and India; validated client connectivity, exchange connectivity, algorithms and dark pools</w:t>
      </w:r>
    </w:p>
    <w:p w14:paraId="7AD7BF9E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Designed performance measures that increased trade flow and </w:t>
      </w:r>
      <w:r>
        <w:rPr>
          <w:b/>
          <w:bCs/>
        </w:rPr>
        <w:t>lifted commission revenue</w:t>
      </w:r>
      <w:r>
        <w:t xml:space="preserve">; direct line management; </w:t>
      </w:r>
      <w:r>
        <w:rPr>
          <w:b/>
          <w:bCs/>
        </w:rPr>
        <w:t>Team Award for Excellence in Delivery</w:t>
      </w:r>
      <w:r>
        <w:t>; early adopter of DevOps (2010–2015)</w:t>
      </w:r>
    </w:p>
    <w:p w14:paraId="1B79E8A5" w14:textId="77777777" w:rsidR="00DE1E83" w:rsidRDefault="00DE1E83">
      <w:pPr>
        <w:tabs>
          <w:tab w:val="right" w:pos="9026"/>
        </w:tabs>
        <w:spacing w:before="150" w:after="35"/>
        <w:rPr>
          <w:b/>
          <w:bCs/>
          <w:sz w:val="21"/>
          <w:szCs w:val="21"/>
        </w:rPr>
      </w:pPr>
    </w:p>
    <w:p w14:paraId="41DF024A" w14:textId="15A9BACB" w:rsidR="00380F0B" w:rsidRPr="00DE1E83" w:rsidRDefault="00000000">
      <w:pPr>
        <w:tabs>
          <w:tab w:val="right" w:pos="9026"/>
        </w:tabs>
        <w:spacing w:before="150" w:after="35"/>
        <w:rPr>
          <w:color w:val="5B9BD5" w:themeColor="accent5"/>
        </w:rPr>
      </w:pPr>
      <w:r w:rsidRPr="00DE1E83">
        <w:rPr>
          <w:b/>
          <w:bCs/>
          <w:color w:val="5B9BD5" w:themeColor="accent5"/>
          <w:sz w:val="21"/>
          <w:szCs w:val="21"/>
        </w:rPr>
        <w:t>Assistant Consultant — Developer / QA Lead — Merrill Lynch</w:t>
      </w:r>
      <w:r w:rsidR="00DE1E83">
        <w:rPr>
          <w:b/>
          <w:bCs/>
          <w:color w:val="5B9BD5" w:themeColor="accent5"/>
          <w:sz w:val="21"/>
          <w:szCs w:val="21"/>
        </w:rPr>
        <w:t>, New Jersey, Mumbai</w:t>
      </w:r>
      <w:r w:rsidRPr="00DE1E83">
        <w:rPr>
          <w:b/>
          <w:bCs/>
          <w:color w:val="5B9BD5" w:themeColor="accent5"/>
        </w:rPr>
        <w:tab/>
        <w:t>Feb 2006 – Apr 2009</w:t>
      </w:r>
    </w:p>
    <w:p w14:paraId="2367AE52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.NET C# development of Wealth Management client applications — retirement planning, superannuation and education goals — and enhanced client reporting</w:t>
      </w:r>
    </w:p>
    <w:p w14:paraId="5B9746AB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QA Lead for derivatives and wealth front-office applications; built a test automation framework</w:t>
      </w:r>
    </w:p>
    <w:p w14:paraId="792D8F83" w14:textId="77777777" w:rsidR="00DE1E83" w:rsidRDefault="00DE1E83">
      <w:pPr>
        <w:pBdr>
          <w:bottom w:val="single" w:sz="6" w:space="2" w:color="1F3864"/>
        </w:pBdr>
        <w:spacing w:before="200" w:after="70"/>
        <w:rPr>
          <w:b/>
          <w:bCs/>
          <w:color w:val="1F3864"/>
          <w:sz w:val="22"/>
          <w:szCs w:val="22"/>
        </w:rPr>
      </w:pPr>
    </w:p>
    <w:p w14:paraId="557F07E1" w14:textId="2B6FC036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SKILLS</w:t>
      </w:r>
    </w:p>
    <w:p w14:paraId="055E22F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Product management:</w:t>
      </w:r>
      <w:r>
        <w:t xml:space="preserve"> vision, strategy and roadmap; OKRs; backlog prioritisation; market discovery, go-to-market and sales strategy; product discovery and client research; client value propositions; adoption; product governance</w:t>
      </w:r>
    </w:p>
    <w:p w14:paraId="076F807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Platforms, connectivity and data:</w:t>
      </w:r>
      <w:r>
        <w:t xml:space="preserve"> shared data platforms and golden-source reference data; FIX and file-based (SFTP) connectivity; client onboarding; data governance; cloud-aligned data strategy; Generative AI</w:t>
      </w:r>
    </w:p>
    <w:p w14:paraId="5B9F69C8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Commercial and risk:</w:t>
      </w:r>
      <w:r>
        <w:t xml:space="preserve"> business cases and benefits; budgets and cost management; vendor negotiation and partnership management; regulatory and compliance obligations</w:t>
      </w:r>
    </w:p>
    <w:p w14:paraId="0DAA0BBB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Stakeholders:</w:t>
      </w:r>
      <w:r>
        <w:t xml:space="preserve"> client executives, industry working groups, regulators, C-suite and Board; analytical problem-solving and decision-making under pressure</w:t>
      </w:r>
    </w:p>
    <w:p w14:paraId="4F90B1E4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</w:rPr>
        <w:t>Ways of working:</w:t>
      </w:r>
      <w:r>
        <w:t xml:space="preserve"> Agile product ownership, Certified Scrum Master, hybrid delivery; Jira, Confluence, SQL</w:t>
      </w:r>
    </w:p>
    <w:p w14:paraId="4369E257" w14:textId="77777777" w:rsidR="00DE1E83" w:rsidRDefault="00DE1E83">
      <w:pPr>
        <w:pBdr>
          <w:bottom w:val="single" w:sz="6" w:space="2" w:color="1F3864"/>
        </w:pBdr>
        <w:spacing w:before="200" w:after="70"/>
        <w:rPr>
          <w:b/>
          <w:bCs/>
          <w:color w:val="1F3864"/>
          <w:sz w:val="22"/>
          <w:szCs w:val="22"/>
        </w:rPr>
      </w:pPr>
    </w:p>
    <w:p w14:paraId="7D055110" w14:textId="63E781C2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CERTIFICATIONS AND EDUCATION</w:t>
      </w:r>
    </w:p>
    <w:p w14:paraId="5003DFD4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MBA — International Finance, United Business Institutes (Belgium / Mumbai), 2011</w:t>
      </w:r>
    </w:p>
    <w:p w14:paraId="3FAE9C29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Bachelor of Engineering — Information Technology, Mumbai University, 2005</w:t>
      </w:r>
    </w:p>
    <w:p w14:paraId="28A9AA10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 xml:space="preserve">Certified Scrum </w:t>
      </w:r>
      <w:proofErr w:type="gramStart"/>
      <w:r>
        <w:t>Master  •</w:t>
      </w:r>
      <w:proofErr w:type="gramEnd"/>
      <w:r>
        <w:t xml:space="preserve">  Microsoft Azure Fundamentals (AZ-900</w:t>
      </w:r>
      <w:proofErr w:type="gramStart"/>
      <w:r>
        <w:t>)  •</w:t>
      </w:r>
      <w:proofErr w:type="gramEnd"/>
      <w:r>
        <w:t xml:space="preserve">  NCFM Capital Markets and Derivatives modules</w:t>
      </w:r>
    </w:p>
    <w:p w14:paraId="0FEDE12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lastRenderedPageBreak/>
        <w:t xml:space="preserve">Generative AI, Duke University (in </w:t>
      </w:r>
      <w:proofErr w:type="gramStart"/>
      <w:r>
        <w:t>progress)  •</w:t>
      </w:r>
      <w:proofErr w:type="gramEnd"/>
      <w:r>
        <w:t xml:space="preserve">  PMP, PMI (in progress)</w:t>
      </w:r>
    </w:p>
    <w:p w14:paraId="33E2AD78" w14:textId="77777777" w:rsidR="00380F0B" w:rsidRDefault="00000000">
      <w:pPr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2"/>
          <w:szCs w:val="22"/>
        </w:rPr>
        <w:t>COMMUNITY</w:t>
      </w:r>
    </w:p>
    <w:p w14:paraId="1A259F73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UBS Antarang — core committee member delivering skills training for graduates</w:t>
      </w:r>
    </w:p>
    <w:p w14:paraId="3062C3DD" w14:textId="77777777" w:rsidR="00380F0B" w:rsidRDefault="00000000">
      <w:pPr>
        <w:pStyle w:val="ListParagraph"/>
        <w:numPr>
          <w:ilvl w:val="0"/>
          <w:numId w:val="2"/>
        </w:numPr>
        <w:spacing w:after="35"/>
      </w:pPr>
      <w:r>
        <w:t>Ullas Foundation — skills training and coaching for high-school students</w:t>
      </w:r>
    </w:p>
    <w:sectPr w:rsidR="00380F0B">
      <w:pgSz w:w="11906" w:h="16838"/>
      <w:pgMar w:top="760" w:right="900" w:bottom="7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C88"/>
    <w:multiLevelType w:val="hybridMultilevel"/>
    <w:tmpl w:val="4EC2B7BA"/>
    <w:lvl w:ilvl="0" w:tplc="F1D05DCC">
      <w:start w:val="1"/>
      <w:numFmt w:val="bullet"/>
      <w:lvlText w:val="•"/>
      <w:lvlJc w:val="left"/>
      <w:pPr>
        <w:ind w:left="388" w:hanging="230"/>
      </w:pPr>
    </w:lvl>
    <w:lvl w:ilvl="1" w:tplc="C7D6D41E">
      <w:numFmt w:val="decimal"/>
      <w:lvlText w:val=""/>
      <w:lvlJc w:val="left"/>
    </w:lvl>
    <w:lvl w:ilvl="2" w:tplc="17C2D69E">
      <w:numFmt w:val="decimal"/>
      <w:lvlText w:val=""/>
      <w:lvlJc w:val="left"/>
    </w:lvl>
    <w:lvl w:ilvl="3" w:tplc="E40A14DC">
      <w:numFmt w:val="decimal"/>
      <w:lvlText w:val=""/>
      <w:lvlJc w:val="left"/>
    </w:lvl>
    <w:lvl w:ilvl="4" w:tplc="B9789ECC">
      <w:numFmt w:val="decimal"/>
      <w:lvlText w:val=""/>
      <w:lvlJc w:val="left"/>
    </w:lvl>
    <w:lvl w:ilvl="5" w:tplc="713A492A">
      <w:numFmt w:val="decimal"/>
      <w:lvlText w:val=""/>
      <w:lvlJc w:val="left"/>
    </w:lvl>
    <w:lvl w:ilvl="6" w:tplc="35649FAC">
      <w:numFmt w:val="decimal"/>
      <w:lvlText w:val=""/>
      <w:lvlJc w:val="left"/>
    </w:lvl>
    <w:lvl w:ilvl="7" w:tplc="29202444">
      <w:numFmt w:val="decimal"/>
      <w:lvlText w:val=""/>
      <w:lvlJc w:val="left"/>
    </w:lvl>
    <w:lvl w:ilvl="8" w:tplc="B4EEA59E">
      <w:numFmt w:val="decimal"/>
      <w:lvlText w:val=""/>
      <w:lvlJc w:val="left"/>
    </w:lvl>
  </w:abstractNum>
  <w:abstractNum w:abstractNumId="1" w15:restartNumberingAfterBreak="0">
    <w:nsid w:val="2F337A40"/>
    <w:multiLevelType w:val="hybridMultilevel"/>
    <w:tmpl w:val="B43E1AC0"/>
    <w:lvl w:ilvl="0" w:tplc="BAAE2358">
      <w:start w:val="1"/>
      <w:numFmt w:val="bullet"/>
      <w:lvlText w:val="●"/>
      <w:lvlJc w:val="left"/>
      <w:pPr>
        <w:ind w:left="720" w:hanging="360"/>
      </w:pPr>
    </w:lvl>
    <w:lvl w:ilvl="1" w:tplc="64602CCC">
      <w:start w:val="1"/>
      <w:numFmt w:val="bullet"/>
      <w:lvlText w:val="○"/>
      <w:lvlJc w:val="left"/>
      <w:pPr>
        <w:ind w:left="1440" w:hanging="360"/>
      </w:pPr>
    </w:lvl>
    <w:lvl w:ilvl="2" w:tplc="1BE441EE">
      <w:start w:val="1"/>
      <w:numFmt w:val="bullet"/>
      <w:lvlText w:val="■"/>
      <w:lvlJc w:val="left"/>
      <w:pPr>
        <w:ind w:left="2160" w:hanging="360"/>
      </w:pPr>
    </w:lvl>
    <w:lvl w:ilvl="3" w:tplc="DC7C4008">
      <w:start w:val="1"/>
      <w:numFmt w:val="bullet"/>
      <w:lvlText w:val="●"/>
      <w:lvlJc w:val="left"/>
      <w:pPr>
        <w:ind w:left="2880" w:hanging="360"/>
      </w:pPr>
    </w:lvl>
    <w:lvl w:ilvl="4" w:tplc="C1349CF0">
      <w:start w:val="1"/>
      <w:numFmt w:val="bullet"/>
      <w:lvlText w:val="○"/>
      <w:lvlJc w:val="left"/>
      <w:pPr>
        <w:ind w:left="3600" w:hanging="360"/>
      </w:pPr>
    </w:lvl>
    <w:lvl w:ilvl="5" w:tplc="54000914">
      <w:start w:val="1"/>
      <w:numFmt w:val="bullet"/>
      <w:lvlText w:val="■"/>
      <w:lvlJc w:val="left"/>
      <w:pPr>
        <w:ind w:left="4320" w:hanging="360"/>
      </w:pPr>
    </w:lvl>
    <w:lvl w:ilvl="6" w:tplc="AA865EB4">
      <w:start w:val="1"/>
      <w:numFmt w:val="bullet"/>
      <w:lvlText w:val="●"/>
      <w:lvlJc w:val="left"/>
      <w:pPr>
        <w:ind w:left="5040" w:hanging="360"/>
      </w:pPr>
    </w:lvl>
    <w:lvl w:ilvl="7" w:tplc="7AAE03FC">
      <w:start w:val="1"/>
      <w:numFmt w:val="bullet"/>
      <w:lvlText w:val="●"/>
      <w:lvlJc w:val="left"/>
      <w:pPr>
        <w:ind w:left="5760" w:hanging="360"/>
      </w:pPr>
    </w:lvl>
    <w:lvl w:ilvl="8" w:tplc="12386324">
      <w:start w:val="1"/>
      <w:numFmt w:val="bullet"/>
      <w:lvlText w:val="●"/>
      <w:lvlJc w:val="left"/>
      <w:pPr>
        <w:ind w:left="6480" w:hanging="360"/>
      </w:pPr>
    </w:lvl>
  </w:abstractNum>
  <w:num w:numId="1" w16cid:durableId="1607348825">
    <w:abstractNumId w:val="1"/>
    <w:lvlOverride w:ilvl="0">
      <w:startOverride w:val="1"/>
    </w:lvlOverride>
  </w:num>
  <w:num w:numId="2" w16cid:durableId="1821460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0B"/>
    <w:rsid w:val="002F6E85"/>
    <w:rsid w:val="00380F0B"/>
    <w:rsid w:val="00C95EF9"/>
    <w:rsid w:val="00D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A4F6"/>
  <w15:docId w15:val="{86F0AF23-93E8-4B85-B0D4-7070955B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1932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Preyas Raval</dc:creator>
  <cp:lastModifiedBy>hetaltrivedi22@gmail.com</cp:lastModifiedBy>
  <cp:revision>3</cp:revision>
  <dcterms:created xsi:type="dcterms:W3CDTF">2026-09-21T13:29:00Z</dcterms:created>
  <dcterms:modified xsi:type="dcterms:W3CDTF">2026-09-21T13:34:00Z</dcterms:modified>
</cp:coreProperties>
</file>