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6FED"/>
          <w:sz w:val="26"/>
        </w:rPr>
        <w:t>VOLUME MASTER</w:t>
      </w:r>
    </w:p>
    <w:p>
      <w:pPr>
        <w:jc w:val="center"/>
      </w:pPr>
      <w:r>
        <w:rPr>
          <w:rFonts w:ascii="Aptos Display" w:hAnsi="Aptos Display"/>
          <w:b/>
          <w:color w:val="1E2A44"/>
          <w:sz w:val="56"/>
        </w:rPr>
        <w:t>Master Index</w:t>
      </w:r>
    </w:p>
    <w:p>
      <w:pPr>
        <w:jc w:val="center"/>
      </w:pPr>
      <w:r>
        <w:t>Fourth Edition curriculum — Senior Engineering Expansion</w:t>
      </w:r>
    </w:p>
    <w:p/>
    <w:tbl>
      <w:tblPr>
        <w:tblW w:type="auto" w:w="0"/>
        <w:jc w:val="center"/>
        <w:tblLook w:firstColumn="1" w:firstRow="1" w:lastColumn="0" w:lastRow="0" w:noHBand="0" w:noVBand="1" w:val="04A0"/>
      </w:tblPr>
      <w:tblGrid>
        <w:gridCol w:w="9994"/>
      </w:tblGrid>
      <w:tr>
        <w:tc>
          <w:tcPr>
            <w:tcW w:type="dxa" w:w="9994"/>
            <w:shd w:fill="F4F7FB"/>
            <w:vAlign w:val="center"/>
          </w:tcPr>
          <w:p>
            <w:pPr>
              <w:jc w:val="center"/>
            </w:pPr>
            <w:r>
              <w:rPr>
                <w:rFonts w:ascii="Aptos" w:hAnsi="Aptos"/>
                <w:b/>
                <w:color w:val="1E2A44"/>
                <w:sz w:val="22"/>
              </w:rPr>
              <w:t>Fourth Edition - Rebuilt as a teaching text, not an annotated checklist</w:t>
            </w:r>
          </w:p>
        </w:tc>
      </w:tr>
    </w:tbl>
    <w:p>
      <w:pPr>
        <w:jc w:val="center"/>
      </w:pPr>
      <w:r>
        <w:rPr>
          <w:rFonts w:ascii="Aptos" w:hAnsi="Aptos"/>
          <w:b w:val="0"/>
          <w:color w:val="64748B"/>
          <w:sz w:val="17"/>
        </w:rPr>
        <w:t>Independent study guide based on public documentation and public practitioner material. Not an NVIDIA publication.</w:t>
      </w:r>
    </w:p>
    <w:p>
      <w:r>
        <w:br w:type="page"/>
      </w:r>
    </w:p>
    <w:tbl>
      <w:tblPr>
        <w:tblW w:type="auto" w:w="0"/>
        <w:jc w:val="center"/>
        <w:tblLook w:firstColumn="1" w:firstRow="1" w:lastColumn="0" w:lastRow="0" w:noHBand="0" w:noVBand="1" w:val="04A0"/>
      </w:tblPr>
      <w:tblGrid>
        <w:gridCol w:w="9994"/>
      </w:tblGrid>
      <w:tr>
        <w:tc>
          <w:tcPr>
            <w:tcW w:type="dxa" w:w="9994"/>
            <w:shd w:fill="ECFDF5"/>
          </w:tcPr>
          <w:p>
            <w:r>
              <w:rPr>
                <w:rFonts w:ascii="Aptos" w:hAnsi="Aptos"/>
                <w:b/>
                <w:color w:val="047857"/>
                <w:sz w:val="21"/>
              </w:rPr>
              <w:t>What changed in this rebuild</w:t>
              <w:br/>
            </w:r>
            <w:r>
              <w:t>The series was rewritten around teaching. Concepts are explained before “why it matters.” Code is copyable. Visuals are original diagrams. Scenarios show the reasoning path step by step. Practitioner material and Udemy/Coursera/NVIDIA references appear as reinforcement after the teaching, not as substitutes for it.</w:t>
            </w:r>
          </w:p>
        </w:tc>
      </w:tr>
    </w:tbl>
    <w:p>
      <w:pPr>
        <w:spacing w:after="20"/>
      </w:pP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EAF0FA"/>
          </w:tcPr>
          <w:p>
            <w:r>
              <w:rPr>
                <w:rFonts w:ascii="Aptos" w:hAnsi="Aptos"/>
                <w:b/>
                <w:color w:val="1E2A44"/>
                <w:sz w:val="18"/>
              </w:rPr>
              <w:t>Volume</w:t>
            </w:r>
          </w:p>
        </w:tc>
        <w:tc>
          <w:tcPr>
            <w:tcW w:type="dxa" w:w="3331"/>
            <w:shd w:fill="EAF0FA"/>
          </w:tcPr>
          <w:p>
            <w:r>
              <w:rPr>
                <w:rFonts w:ascii="Aptos" w:hAnsi="Aptos"/>
                <w:b/>
                <w:color w:val="1E2A44"/>
                <w:sz w:val="18"/>
              </w:rPr>
              <w:t>Focus</w:t>
            </w:r>
          </w:p>
        </w:tc>
        <w:tc>
          <w:tcPr>
            <w:tcW w:type="dxa" w:w="3331"/>
            <w:shd w:fill="EAF0FA"/>
          </w:tcPr>
          <w:p>
            <w:r>
              <w:rPr>
                <w:rFonts w:ascii="Aptos" w:hAnsi="Aptos"/>
                <w:b/>
                <w:color w:val="1E2A44"/>
                <w:sz w:val="18"/>
              </w:rPr>
              <w:t>Study style</w:t>
            </w:r>
          </w:p>
        </w:tc>
      </w:tr>
      <w:tr>
        <w:tc>
          <w:tcPr>
            <w:tcW w:type="dxa" w:w="3331"/>
            <w:vAlign w:val="top"/>
          </w:tcPr>
          <w:p>
            <w:r>
              <w:rPr>
                <w:rFonts w:ascii="Aptos" w:hAnsi="Aptos"/>
                <w:b w:val="0"/>
                <w:color w:val="111827"/>
                <w:sz w:val="18"/>
              </w:rPr>
              <w:t>1</w:t>
            </w:r>
          </w:p>
        </w:tc>
        <w:tc>
          <w:tcPr>
            <w:tcW w:type="dxa" w:w="3331"/>
            <w:vAlign w:val="top"/>
          </w:tcPr>
          <w:p>
            <w:r>
              <w:rPr>
                <w:rFonts w:ascii="Aptos" w:hAnsi="Aptos"/>
                <w:b w:val="0"/>
                <w:color w:val="111827"/>
                <w:sz w:val="18"/>
              </w:rPr>
              <w:t>Linux, memory, storage, networking, containers</w:t>
            </w:r>
          </w:p>
        </w:tc>
        <w:tc>
          <w:tcPr>
            <w:tcW w:type="dxa" w:w="3331"/>
            <w:vAlign w:val="top"/>
          </w:tcPr>
          <w:p>
            <w:r>
              <w:rPr>
                <w:rFonts w:ascii="Aptos" w:hAnsi="Aptos"/>
                <w:b w:val="0"/>
                <w:color w:val="111827"/>
                <w:sz w:val="18"/>
              </w:rPr>
              <w:t>mechanism -&gt; commands -&gt; evidence -&gt; scenario</w:t>
            </w:r>
          </w:p>
        </w:tc>
      </w:tr>
      <w:tr>
        <w:tc>
          <w:tcPr>
            <w:tcW w:type="dxa" w:w="3331"/>
            <w:vAlign w:val="top"/>
          </w:tcPr>
          <w:p>
            <w:r>
              <w:rPr>
                <w:rFonts w:ascii="Aptos" w:hAnsi="Aptos"/>
                <w:b w:val="0"/>
                <w:color w:val="111827"/>
                <w:sz w:val="18"/>
              </w:rPr>
              <w:t>2</w:t>
            </w:r>
          </w:p>
        </w:tc>
        <w:tc>
          <w:tcPr>
            <w:tcW w:type="dxa" w:w="3331"/>
            <w:vAlign w:val="top"/>
          </w:tcPr>
          <w:p>
            <w:r>
              <w:rPr>
                <w:rFonts w:ascii="Aptos" w:hAnsi="Aptos"/>
                <w:b w:val="0"/>
                <w:color w:val="111827"/>
                <w:sz w:val="18"/>
              </w:rPr>
              <w:t>Python for production infrastructure</w:t>
            </w:r>
          </w:p>
        </w:tc>
        <w:tc>
          <w:tcPr>
            <w:tcW w:type="dxa" w:w="3331"/>
            <w:vAlign w:val="top"/>
          </w:tcPr>
          <w:p>
            <w:r>
              <w:rPr>
                <w:rFonts w:ascii="Aptos" w:hAnsi="Aptos"/>
                <w:b w:val="0"/>
                <w:color w:val="111827"/>
                <w:sz w:val="18"/>
              </w:rPr>
              <w:t>code-first worked examples -&gt; failure -&gt; tests -&gt; capstone</w:t>
            </w:r>
          </w:p>
        </w:tc>
      </w:tr>
      <w:tr>
        <w:tc>
          <w:tcPr>
            <w:tcW w:type="dxa" w:w="3331"/>
            <w:vAlign w:val="top"/>
          </w:tcPr>
          <w:p>
            <w:r>
              <w:rPr>
                <w:rFonts w:ascii="Aptos" w:hAnsi="Aptos"/>
                <w:b w:val="0"/>
                <w:color w:val="111827"/>
                <w:sz w:val="18"/>
              </w:rPr>
              <w:t>3</w:t>
            </w:r>
          </w:p>
        </w:tc>
        <w:tc>
          <w:tcPr>
            <w:tcW w:type="dxa" w:w="3331"/>
            <w:vAlign w:val="top"/>
          </w:tcPr>
          <w:p>
            <w:r>
              <w:rPr>
                <w:rFonts w:ascii="Aptos" w:hAnsi="Aptos"/>
                <w:b w:val="0"/>
                <w:color w:val="111827"/>
                <w:sz w:val="18"/>
              </w:rPr>
              <w:t>Kubernetes and platform engineering</w:t>
            </w:r>
          </w:p>
        </w:tc>
        <w:tc>
          <w:tcPr>
            <w:tcW w:type="dxa" w:w="3331"/>
            <w:vAlign w:val="top"/>
          </w:tcPr>
          <w:p>
            <w:r>
              <w:rPr>
                <w:rFonts w:ascii="Aptos" w:hAnsi="Aptos"/>
                <w:b w:val="0"/>
                <w:color w:val="111827"/>
                <w:sz w:val="18"/>
              </w:rPr>
              <w:t>control loops -&gt; scheduling/network/storage -&gt; troubleshooting</w:t>
            </w:r>
          </w:p>
        </w:tc>
      </w:tr>
      <w:tr>
        <w:tc>
          <w:tcPr>
            <w:tcW w:type="dxa" w:w="3331"/>
            <w:vAlign w:val="top"/>
          </w:tcPr>
          <w:p>
            <w:r>
              <w:rPr>
                <w:rFonts w:ascii="Aptos" w:hAnsi="Aptos"/>
                <w:b w:val="0"/>
                <w:color w:val="111827"/>
                <w:sz w:val="18"/>
              </w:rPr>
              <w:t>4</w:t>
            </w:r>
          </w:p>
        </w:tc>
        <w:tc>
          <w:tcPr>
            <w:tcW w:type="dxa" w:w="3331"/>
            <w:vAlign w:val="top"/>
          </w:tcPr>
          <w:p>
            <w:r>
              <w:rPr>
                <w:rFonts w:ascii="Aptos" w:hAnsi="Aptos"/>
                <w:b w:val="0"/>
                <w:color w:val="111827"/>
                <w:sz w:val="18"/>
              </w:rPr>
              <w:t>GPU foundations</w:t>
            </w:r>
          </w:p>
        </w:tc>
        <w:tc>
          <w:tcPr>
            <w:tcW w:type="dxa" w:w="3331"/>
            <w:vAlign w:val="top"/>
          </w:tcPr>
          <w:p>
            <w:r>
              <w:rPr>
                <w:rFonts w:ascii="Aptos" w:hAnsi="Aptos"/>
                <w:b w:val="0"/>
                <w:color w:val="111827"/>
                <w:sz w:val="18"/>
              </w:rPr>
              <w:t>hardware/software stack -&gt; Operator -&gt; sharing -&gt; health</w:t>
            </w:r>
          </w:p>
        </w:tc>
      </w:tr>
      <w:tr>
        <w:tc>
          <w:tcPr>
            <w:tcW w:type="dxa" w:w="3331"/>
            <w:vAlign w:val="top"/>
          </w:tcPr>
          <w:p>
            <w:r>
              <w:rPr>
                <w:rFonts w:ascii="Aptos" w:hAnsi="Aptos"/>
                <w:b w:val="0"/>
                <w:color w:val="111827"/>
                <w:sz w:val="18"/>
              </w:rPr>
              <w:t>5</w:t>
            </w:r>
          </w:p>
        </w:tc>
        <w:tc>
          <w:tcPr>
            <w:tcW w:type="dxa" w:w="3331"/>
            <w:vAlign w:val="top"/>
          </w:tcPr>
          <w:p>
            <w:r>
              <w:rPr>
                <w:rFonts w:ascii="Aptos" w:hAnsi="Aptos"/>
                <w:b w:val="0"/>
                <w:color w:val="111827"/>
                <w:sz w:val="18"/>
              </w:rPr>
              <w:t>AI workloads</w:t>
            </w:r>
          </w:p>
        </w:tc>
        <w:tc>
          <w:tcPr>
            <w:tcW w:type="dxa" w:w="3331"/>
            <w:vAlign w:val="top"/>
          </w:tcPr>
          <w:p>
            <w:r>
              <w:rPr>
                <w:rFonts w:ascii="Aptos" w:hAnsi="Aptos"/>
                <w:b w:val="0"/>
                <w:color w:val="111827"/>
                <w:sz w:val="18"/>
              </w:rPr>
              <w:t>training/inference mechanics -&gt; serving -&gt; scaling -&gt; state</w:t>
            </w:r>
          </w:p>
        </w:tc>
      </w:tr>
      <w:tr>
        <w:tc>
          <w:tcPr>
            <w:tcW w:type="dxa" w:w="3331"/>
            <w:vAlign w:val="top"/>
          </w:tcPr>
          <w:p>
            <w:r>
              <w:rPr>
                <w:rFonts w:ascii="Aptos" w:hAnsi="Aptos"/>
                <w:b w:val="0"/>
                <w:color w:val="111827"/>
                <w:sz w:val="18"/>
              </w:rPr>
              <w:t>6</w:t>
            </w:r>
          </w:p>
        </w:tc>
        <w:tc>
          <w:tcPr>
            <w:tcW w:type="dxa" w:w="3331"/>
            <w:vAlign w:val="top"/>
          </w:tcPr>
          <w:p>
            <w:r>
              <w:rPr>
                <w:rFonts w:ascii="Aptos" w:hAnsi="Aptos"/>
                <w:b w:val="0"/>
                <w:color w:val="111827"/>
                <w:sz w:val="18"/>
              </w:rPr>
              <w:t>HPC/network/storage</w:t>
            </w:r>
          </w:p>
        </w:tc>
        <w:tc>
          <w:tcPr>
            <w:tcW w:type="dxa" w:w="3331"/>
            <w:vAlign w:val="top"/>
          </w:tcPr>
          <w:p>
            <w:r>
              <w:rPr>
                <w:rFonts w:ascii="Aptos" w:hAnsi="Aptos"/>
                <w:b w:val="0"/>
                <w:color w:val="111827"/>
                <w:sz w:val="18"/>
              </w:rPr>
              <w:t>distributed data path -&gt; RDMA -&gt; fabric -&gt; storage -&gt; scheduler</w:t>
            </w:r>
          </w:p>
        </w:tc>
      </w:tr>
      <w:tr>
        <w:tc>
          <w:tcPr>
            <w:tcW w:type="dxa" w:w="3331"/>
            <w:vAlign w:val="top"/>
          </w:tcPr>
          <w:p>
            <w:r>
              <w:rPr>
                <w:rFonts w:ascii="Aptos" w:hAnsi="Aptos"/>
                <w:b w:val="0"/>
                <w:color w:val="111827"/>
                <w:sz w:val="18"/>
              </w:rPr>
              <w:t>7</w:t>
            </w:r>
          </w:p>
        </w:tc>
        <w:tc>
          <w:tcPr>
            <w:tcW w:type="dxa" w:w="3331"/>
            <w:vAlign w:val="top"/>
          </w:tcPr>
          <w:p>
            <w:r>
              <w:rPr>
                <w:rFonts w:ascii="Aptos" w:hAnsi="Aptos"/>
                <w:b w:val="0"/>
                <w:color w:val="111827"/>
                <w:sz w:val="18"/>
              </w:rPr>
              <w:t>Observability/reliability</w:t>
            </w:r>
          </w:p>
        </w:tc>
        <w:tc>
          <w:tcPr>
            <w:tcW w:type="dxa" w:w="3331"/>
            <w:vAlign w:val="top"/>
          </w:tcPr>
          <w:p>
            <w:r>
              <w:rPr>
                <w:rFonts w:ascii="Aptos" w:hAnsi="Aptos"/>
                <w:b w:val="0"/>
                <w:color w:val="111827"/>
                <w:sz w:val="18"/>
              </w:rPr>
              <w:t>question -&gt; evidence -&gt; hypothesis -&gt; experiment</w:t>
            </w:r>
          </w:p>
        </w:tc>
      </w:tr>
      <w:tr>
        <w:tc>
          <w:tcPr>
            <w:tcW w:type="dxa" w:w="3331"/>
            <w:vAlign w:val="top"/>
          </w:tcPr>
          <w:p>
            <w:r>
              <w:rPr>
                <w:rFonts w:ascii="Aptos" w:hAnsi="Aptos"/>
                <w:b w:val="0"/>
                <w:color w:val="111827"/>
                <w:sz w:val="18"/>
              </w:rPr>
              <w:t>8</w:t>
            </w:r>
          </w:p>
        </w:tc>
        <w:tc>
          <w:tcPr>
            <w:tcW w:type="dxa" w:w="3331"/>
            <w:vAlign w:val="top"/>
          </w:tcPr>
          <w:p>
            <w:r>
              <w:rPr>
                <w:rFonts w:ascii="Aptos" w:hAnsi="Aptos"/>
                <w:b w:val="0"/>
                <w:color w:val="111827"/>
                <w:sz w:val="18"/>
              </w:rPr>
              <w:t>Solutions architecture</w:t>
            </w:r>
          </w:p>
        </w:tc>
        <w:tc>
          <w:tcPr>
            <w:tcW w:type="dxa" w:w="3331"/>
            <w:vAlign w:val="top"/>
          </w:tcPr>
          <w:p>
            <w:r>
              <w:rPr>
                <w:rFonts w:ascii="Aptos" w:hAnsi="Aptos"/>
                <w:b w:val="0"/>
                <w:color w:val="111827"/>
                <w:sz w:val="18"/>
              </w:rPr>
              <w:t>discovery -&gt; constraints -&gt; options -&gt; trade-offs -&gt; recommendation</w:t>
            </w:r>
          </w:p>
        </w:tc>
      </w:tr>
      <w:tr>
        <w:tc>
          <w:tcPr>
            <w:tcW w:type="dxa" w:w="3331"/>
            <w:vAlign w:val="top"/>
          </w:tcPr>
          <w:p>
            <w:r>
              <w:rPr>
                <w:rFonts w:ascii="Aptos" w:hAnsi="Aptos"/>
                <w:b w:val="0"/>
                <w:color w:val="111827"/>
                <w:sz w:val="18"/>
              </w:rPr>
              <w:t>9</w:t>
            </w:r>
          </w:p>
        </w:tc>
        <w:tc>
          <w:tcPr>
            <w:tcW w:type="dxa" w:w="3331"/>
            <w:vAlign w:val="top"/>
          </w:tcPr>
          <w:p>
            <w:r>
              <w:rPr>
                <w:rFonts w:ascii="Aptos" w:hAnsi="Aptos"/>
                <w:b w:val="0"/>
                <w:color w:val="111827"/>
                <w:sz w:val="18"/>
              </w:rPr>
              <w:t>Interview preparation</w:t>
            </w:r>
          </w:p>
        </w:tc>
        <w:tc>
          <w:tcPr>
            <w:tcW w:type="dxa" w:w="3331"/>
            <w:vAlign w:val="top"/>
          </w:tcPr>
          <w:p>
            <w:r>
              <w:rPr>
                <w:rFonts w:ascii="Aptos" w:hAnsi="Aptos"/>
                <w:b w:val="0"/>
                <w:color w:val="111827"/>
                <w:sz w:val="18"/>
              </w:rPr>
              <w:t>reasoning structure -&gt; coding -&gt; architecture -&gt; customer scenarios</w:t>
            </w:r>
          </w:p>
        </w:tc>
      </w:tr>
    </w:tbl>
    <w:p>
      <w:pPr>
        <w:pStyle w:val="Heading1"/>
      </w:pPr>
      <w:r>
        <w:t>Guided tutor flow</w:t>
      </w:r>
    </w:p>
    <w:p>
      <w:pPr>
        <w:spacing w:after="120"/>
      </w:pPr>
      <w:r>
        <w:t>TEACH mode should present one coherent block from the current chapter and stop. The learner reads, runs examples and asks doubts. When the learner says ready, the tutor tests that block one question at a time, corrects gaps, and then presents the next block. REFRESH and INTERVIEW modes can sample already-studied material randomly.</w:t>
      </w:r>
    </w:p>
    <w:p>
      <w:pPr>
        <w:jc w:val="center"/>
      </w:pPr>
      <w:r>
        <w:drawing>
          <wp:inline xmlns:a="http://schemas.openxmlformats.org/drawingml/2006/main" xmlns:pic="http://schemas.openxmlformats.org/drawingml/2006/picture">
            <wp:extent cx="6217920" cy="1122680"/>
            <wp:docPr id="1" name="Picture 1"/>
            <wp:cNvGraphicFramePr>
              <a:graphicFrameLocks noChangeAspect="1"/>
            </wp:cNvGraphicFramePr>
            <a:graphic>
              <a:graphicData uri="http://schemas.openxmlformats.org/drawingml/2006/picture">
                <pic:pic>
                  <pic:nvPicPr>
                    <pic:cNvPr id="0" name="sa_tradeoff.png"/>
                    <pic:cNvPicPr/>
                  </pic:nvPicPr>
                  <pic:blipFill>
                    <a:blip r:embed="rId11"/>
                    <a:stretch>
                      <a:fillRect/>
                    </a:stretch>
                  </pic:blipFill>
                  <pic:spPr>
                    <a:xfrm>
                      <a:off x="0" y="0"/>
                      <a:ext cx="6217920" cy="1122680"/>
                    </a:xfrm>
                    <a:prstGeom prst="rect"/>
                  </pic:spPr>
                </pic:pic>
              </a:graphicData>
            </a:graphic>
          </wp:inline>
        </w:drawing>
      </w:r>
    </w:p>
    <w:p>
      <w:pPr>
        <w:jc w:val="center"/>
      </w:pPr>
      <w:r>
        <w:rPr>
          <w:rFonts w:ascii="Aptos" w:hAnsi="Aptos"/>
          <w:b w:val="0"/>
          <w:color w:val="64748B"/>
          <w:sz w:val="17"/>
        </w:rPr>
        <w:t>The later volumes reuse the same disciplined decision loop: requirements and evidence before recommendation.</w:t>
      </w:r>
    </w:p>
    <w:p>
      <w:r>
        <w:br w:type="page"/>
      </w:r>
    </w:p>
    <w:tbl>
      <w:tblPr>
        <w:tblW w:type="auto" w:w="0"/>
        <w:jc w:val="center"/>
        <w:tblLayout w:type="autofit"/>
        <w:tblLook w:firstColumn="1" w:firstRow="1" w:lastColumn="0" w:lastRow="0" w:noHBand="0" w:noVBand="1" w:val="04A0"/>
      </w:tblPr>
      <w:tblGrid>
        <w:gridCol w:w="9994"/>
      </w:tblGrid>
      <w:tr>
        <w:tc>
          <w:tcPr>
            <w:tcW w:type="dxa" w:w="9994"/>
            <w:shd w:fill="1F4E79"/>
            <w:vAlign w:val="center"/>
          </w:tcPr>
          <w:p>
            <w:pPr>
              <w:spacing w:after="0"/>
            </w:pPr>
            <w:r>
              <w:rPr>
                <w:color w:val="FFFFFF"/>
              </w:rPr>
            </w:r>
            <w:r>
              <w:rPr>
                <w:b/>
                <w:sz w:val="22"/>
              </w:rPr>
              <w:t>FOURTH EDITION — CONTENT-RICH SENIOR ENGINEERING EXPANSION</w:t>
            </w:r>
          </w:p>
        </w:tc>
      </w:tr>
    </w:tbl>
    <w:p/>
    <w:p>
      <w:pPr>
        <w:pStyle w:val="DeepDive"/>
      </w:pPr>
      <w:r>
        <w:t>This edition retains the readable Fourth Edition and adds substantial senior-level depth to every volume. It deliberately avoids priority labels or a prescriptive interview study order. The material is organized as a reference curriculum; study it in whichever sequence fits your preparation.</w:t>
      </w:r>
    </w:p>
    <w:tbl>
      <w:tblPr>
        <w:tblStyle w:val="TableGrid"/>
        <w:tblW w:type="auto" w:w="0"/>
        <w:jc w:val="center"/>
        <w:tblLook w:firstColumn="1" w:firstRow="1" w:lastColumn="0" w:lastRow="0" w:noHBand="0" w:noVBand="1" w:val="04A0"/>
      </w:tblPr>
      <w:tblGrid>
        <w:gridCol w:w="4997"/>
        <w:gridCol w:w="4997"/>
      </w:tblGrid>
      <w:tr>
        <w:tc>
          <w:tcPr>
            <w:tcW w:type="dxa" w:w="4997"/>
            <w:shd w:fill="D9EAF7"/>
            <w:vAlign w:val="center"/>
          </w:tcPr>
          <w:p>
            <w:pPr>
              <w:spacing w:after="0"/>
            </w:pPr>
            <w:r/>
            <w:r>
              <w:rPr>
                <w:b/>
                <w:sz w:val="17"/>
              </w:rPr>
              <w:t>Volume</w:t>
            </w:r>
          </w:p>
        </w:tc>
        <w:tc>
          <w:tcPr>
            <w:tcW w:type="dxa" w:w="4997"/>
            <w:shd w:fill="D9EAF7"/>
            <w:vAlign w:val="center"/>
          </w:tcPr>
          <w:p>
            <w:pPr>
              <w:spacing w:after="0"/>
            </w:pPr>
            <w:r/>
            <w:r>
              <w:rPr>
                <w:b/>
                <w:sz w:val="17"/>
              </w:rPr>
              <w:t>Fourth Edition additions</w:t>
            </w:r>
          </w:p>
        </w:tc>
      </w:tr>
      <w:tr>
        <w:tc>
          <w:tcPr>
            <w:tcW w:type="dxa" w:w="4997"/>
            <w:vAlign w:val="center"/>
          </w:tcPr>
          <w:p>
            <w:pPr>
              <w:spacing w:after="0"/>
            </w:pPr>
            <w:r/>
            <w:r>
              <w:rPr>
                <w:b w:val="0"/>
                <w:sz w:val="16"/>
              </w:rPr>
              <w:t>1 — Foundations</w:t>
            </w:r>
          </w:p>
        </w:tc>
        <w:tc>
          <w:tcPr>
            <w:tcW w:type="dxa" w:w="4997"/>
            <w:vAlign w:val="center"/>
          </w:tcPr>
          <w:p>
            <w:pPr>
              <w:spacing w:after="0"/>
            </w:pPr>
            <w:r/>
            <w:r>
              <w:rPr>
                <w:b w:val="0"/>
                <w:sz w:val="16"/>
              </w:rPr>
              <w:t>syscalls/scheduling, cgroup CPU, NUMA, memory pressure, VFS/block I/O, packet/conntrack/TCP path, GPU-host readiness</w:t>
            </w:r>
          </w:p>
        </w:tc>
      </w:tr>
      <w:tr>
        <w:tc>
          <w:tcPr>
            <w:tcW w:type="dxa" w:w="4997"/>
            <w:vAlign w:val="center"/>
          </w:tcPr>
          <w:p>
            <w:pPr>
              <w:spacing w:after="0"/>
            </w:pPr>
            <w:r/>
            <w:r>
              <w:rPr>
                <w:b w:val="0"/>
                <w:sz w:val="16"/>
              </w:rPr>
              <w:t>2 — Python</w:t>
            </w:r>
          </w:p>
        </w:tc>
        <w:tc>
          <w:tcPr>
            <w:tcW w:type="dxa" w:w="4997"/>
            <w:vAlign w:val="center"/>
          </w:tcPr>
          <w:p>
            <w:pPr>
              <w:spacing w:after="0"/>
            </w:pPr>
            <w:r/>
            <w:r>
              <w:rPr>
                <w:b w:val="0"/>
                <w:sz w:val="16"/>
              </w:rPr>
              <w:t>domain models, config validation, resilient API clients, bounded concurrency, subprocess safety, structured logs, testing, profiling, GPU-fleet CLI</w:t>
            </w:r>
          </w:p>
        </w:tc>
      </w:tr>
      <w:tr>
        <w:tc>
          <w:tcPr>
            <w:tcW w:type="dxa" w:w="4997"/>
            <w:vAlign w:val="center"/>
          </w:tcPr>
          <w:p>
            <w:pPr>
              <w:spacing w:after="0"/>
            </w:pPr>
            <w:r/>
            <w:r>
              <w:rPr>
                <w:b w:val="0"/>
                <w:sz w:val="16"/>
              </w:rPr>
              <w:t>3 — Kubernetes</w:t>
            </w:r>
          </w:p>
        </w:tc>
        <w:tc>
          <w:tcPr>
            <w:tcW w:type="dxa" w:w="4997"/>
            <w:vAlign w:val="center"/>
          </w:tcPr>
          <w:p>
            <w:pPr>
              <w:spacing w:after="0"/>
            </w:pPr>
            <w:r/>
            <w:r>
              <w:rPr>
                <w:b w:val="0"/>
                <w:sz w:val="16"/>
              </w:rPr>
              <w:t>API machinery, etcd, DRA, preemption/eviction, kubelet/CRI, dataplane/DNS/Gateway API, admission/policy, GPU node lifecycle</w:t>
            </w:r>
          </w:p>
        </w:tc>
      </w:tr>
      <w:tr>
        <w:tc>
          <w:tcPr>
            <w:tcW w:type="dxa" w:w="4997"/>
            <w:vAlign w:val="center"/>
          </w:tcPr>
          <w:p>
            <w:pPr>
              <w:spacing w:after="0"/>
            </w:pPr>
            <w:r/>
            <w:r>
              <w:rPr>
                <w:b w:val="0"/>
                <w:sz w:val="16"/>
              </w:rPr>
              <w:t>4 — GPU</w:t>
            </w:r>
          </w:p>
        </w:tc>
        <w:tc>
          <w:tcPr>
            <w:tcW w:type="dxa" w:w="4997"/>
            <w:vAlign w:val="center"/>
          </w:tcPr>
          <w:p>
            <w:pPr>
              <w:spacing w:after="0"/>
            </w:pPr>
            <w:r/>
            <w:r>
              <w:rPr>
                <w:b w:val="0"/>
                <w:sz w:val="16"/>
              </w:rPr>
              <w:t>execution/memory model, topology, driver/container stack, GPU Operator internals, MIG/sharing, DCGM/Xid/ECC, fleet lifecycle</w:t>
            </w:r>
          </w:p>
        </w:tc>
      </w:tr>
      <w:tr>
        <w:tc>
          <w:tcPr>
            <w:tcW w:type="dxa" w:w="4997"/>
            <w:vAlign w:val="center"/>
          </w:tcPr>
          <w:p>
            <w:pPr>
              <w:spacing w:after="0"/>
            </w:pPr>
            <w:r/>
            <w:r>
              <w:rPr>
                <w:b w:val="0"/>
                <w:sz w:val="16"/>
              </w:rPr>
              <w:t>5 — AI workloads</w:t>
            </w:r>
          </w:p>
        </w:tc>
        <w:tc>
          <w:tcPr>
            <w:tcW w:type="dxa" w:w="4997"/>
            <w:vAlign w:val="center"/>
          </w:tcPr>
          <w:p>
            <w:pPr>
              <w:spacing w:after="0"/>
            </w:pPr>
            <w:r/>
            <w:r>
              <w:rPr>
                <w:b w:val="0"/>
                <w:sz w:val="16"/>
              </w:rPr>
              <w:t>training parallelism, LLM prefill/decode/KV, NIM/engines, Dynamo/disaggregated serving, inference autoscaling, RAG/agents, benchmarking</w:t>
            </w:r>
          </w:p>
        </w:tc>
      </w:tr>
      <w:tr>
        <w:tc>
          <w:tcPr>
            <w:tcW w:type="dxa" w:w="4997"/>
            <w:vAlign w:val="center"/>
          </w:tcPr>
          <w:p>
            <w:pPr>
              <w:spacing w:after="0"/>
            </w:pPr>
            <w:r/>
            <w:r>
              <w:rPr>
                <w:b w:val="0"/>
                <w:sz w:val="16"/>
              </w:rPr>
              <w:t>6 — HPC/network/storage</w:t>
            </w:r>
          </w:p>
        </w:tc>
        <w:tc>
          <w:tcPr>
            <w:tcW w:type="dxa" w:w="4997"/>
            <w:vAlign w:val="center"/>
          </w:tcPr>
          <w:p>
            <w:pPr>
              <w:spacing w:after="0"/>
            </w:pPr>
            <w:r/>
            <w:r>
              <w:rPr>
                <w:b w:val="0"/>
                <w:sz w:val="16"/>
              </w:rPr>
              <w:t>collectives/NCCL, RDMA/RoCE/IB, GPUDirect, fabric design, storage hierarchy, Slurm, Enroot/Pyxis/BCM, hybrid scheduling</w:t>
            </w:r>
          </w:p>
        </w:tc>
      </w:tr>
      <w:tr>
        <w:tc>
          <w:tcPr>
            <w:tcW w:type="dxa" w:w="4997"/>
            <w:vAlign w:val="center"/>
          </w:tcPr>
          <w:p>
            <w:pPr>
              <w:spacing w:after="0"/>
            </w:pPr>
            <w:r/>
            <w:r>
              <w:rPr>
                <w:b w:val="0"/>
                <w:sz w:val="16"/>
              </w:rPr>
              <w:t>7 — Observability</w:t>
            </w:r>
          </w:p>
        </w:tc>
        <w:tc>
          <w:tcPr>
            <w:tcW w:type="dxa" w:w="4997"/>
            <w:vAlign w:val="center"/>
          </w:tcPr>
          <w:p>
            <w:pPr>
              <w:spacing w:after="0"/>
            </w:pPr>
            <w:r/>
            <w:r>
              <w:rPr>
                <w:b w:val="0"/>
                <w:sz w:val="16"/>
              </w:rPr>
              <w:t>SLO/USE/RED, Prometheus cardinality/query cost, OTel, DCGM, inference metrics, evidence-tree incidents, alert design and game days</w:t>
            </w:r>
          </w:p>
        </w:tc>
      </w:tr>
      <w:tr>
        <w:tc>
          <w:tcPr>
            <w:tcW w:type="dxa" w:w="4997"/>
            <w:vAlign w:val="center"/>
          </w:tcPr>
          <w:p>
            <w:pPr>
              <w:spacing w:after="0"/>
            </w:pPr>
            <w:r/>
            <w:r>
              <w:rPr>
                <w:b w:val="0"/>
                <w:sz w:val="16"/>
              </w:rPr>
              <w:t>8 — SA practice</w:t>
            </w:r>
          </w:p>
        </w:tc>
        <w:tc>
          <w:tcPr>
            <w:tcW w:type="dxa" w:w="4997"/>
            <w:vAlign w:val="center"/>
          </w:tcPr>
          <w:p>
            <w:pPr>
              <w:spacing w:after="0"/>
            </w:pPr>
            <w:r/>
            <w:r>
              <w:rPr>
                <w:b w:val="0"/>
                <w:sz w:val="16"/>
              </w:rPr>
              <w:t>workload discovery, AI factory architecture, capacity/TCO, PoC design, security/governance, product/scheduler decisions, executive communication</w:t>
            </w:r>
          </w:p>
        </w:tc>
      </w:tr>
      <w:tr>
        <w:tc>
          <w:tcPr>
            <w:tcW w:type="dxa" w:w="4997"/>
            <w:vAlign w:val="center"/>
          </w:tcPr>
          <w:p>
            <w:pPr>
              <w:spacing w:after="0"/>
            </w:pPr>
            <w:r/>
            <w:r>
              <w:rPr>
                <w:b w:val="0"/>
                <w:sz w:val="16"/>
              </w:rPr>
              <w:t>9 — Interview</w:t>
            </w:r>
          </w:p>
        </w:tc>
        <w:tc>
          <w:tcPr>
            <w:tcW w:type="dxa" w:w="4997"/>
            <w:vAlign w:val="center"/>
          </w:tcPr>
          <w:p>
            <w:pPr>
              <w:spacing w:after="0"/>
            </w:pPr>
            <w:r/>
            <w:r>
              <w:rPr>
                <w:b w:val="0"/>
                <w:sz w:val="16"/>
              </w:rPr>
              <w:t>senior answer method, Linux/Python/K8s/GPU/AI/network question banks, architecture/customer drills and current NVIDIA role-family signals</w:t>
            </w:r>
          </w:p>
        </w:tc>
      </w:tr>
    </w:tbl>
    <w:p/>
    <w:p>
      <w:pPr>
        <w:pStyle w:val="Heading1"/>
      </w:pPr>
      <w:r>
        <w:t>Source architecture</w:t>
      </w:r>
    </w:p>
    <w:p>
      <w:pPr>
        <w:pStyle w:val="DeepDive"/>
      </w:pPr>
      <w:r>
        <w:t>Technical authority: current official NVIDIA, Kubernetes and Python documentation. Practitioner scope signals: public posts and job-family material from NVIDIA Solutions Architects, especially Vishakha Sadhwani, plus public NVIDIA SA/hiring material on GPU Kubernetes, inference and AI factory architecture. Teaching reinforcement: targeted Udemy lecture sections rather than entire courses. Internal breadth source: your Staff Engineer study guide repository, especially Kubernetes, platform patterns, observability, databases/storage and distributed-log material.</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6"/>
      </w:rPr>
      <w:t>NVIDIA-style Senior DevOps / AI Infrastructure Solutions Architect Study Series - Fourth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4748B"/>
        <w:sz w:val="16"/>
      </w:rPr>
      <w:t>Master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A0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before="0"/>
    </w:pPr>
    <w:rPr>
      <w:rFonts w:ascii="DejaVu Sans Mono" w:hAnsi="DejaVu Sans Mono"/>
      <w:sz w:val="17"/>
    </w:rPr>
  </w:style>
  <w:style w:type="paragraph" w:customStyle="1" w:styleId="DeepDive">
    <w:name w:val="Deep Dive"/>
    <w:pPr>
      <w:spacing w:after="120" w:line="259" w:lineRule="auto"/>
    </w:pPr>
    <w:rPr>
      <w:rFonts w:ascii="Aptos" w:hAnsi="Aptos"/>
      <w:color w:val="232323"/>
      <w:sz w:val="21"/>
    </w:rPr>
  </w:style>
  <w:style w:type="paragraph" w:customStyle="1" w:styleId="CodeBlock4">
    <w:name w:val="CodeBlock4"/>
    <w:pPr>
      <w:spacing w:after="0" w:line="240" w:lineRule="auto"/>
      <w:shd w:fill="F3F6F9"/>
      <w:ind w:left="180" w:right="120"/>
    </w:pPr>
    <w:rPr>
      <w:rFonts w:ascii="Courier New" w:hAnsi="Courier New"/>
      <w:color w:val="1F1F1F"/>
      <w:sz w:val="16"/>
    </w:rPr>
  </w:style>
  <w:style w:type="paragraph" w:customStyle="1" w:styleId="Callout4">
    <w:name w:val="Callout4"/>
    <w:pPr>
      <w:spacing w:after="120"/>
      <w:shd w:fill="EAF2F8"/>
      <w:ind w:left="180" w:right="120"/>
    </w:pPr>
    <w:rPr>
      <w:rFonts w:ascii="Aptos" w:hAnsi="Aptos"/>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