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3B0D" w14:textId="24AA4693" w:rsidR="000C6A59" w:rsidRDefault="00297380" w:rsidP="00297380">
      <w:pPr>
        <w:pStyle w:val="Title"/>
        <w:rPr>
          <w:lang w:val="en-US"/>
        </w:rPr>
      </w:pPr>
      <w:proofErr w:type="spellStart"/>
      <w:r>
        <w:rPr>
          <w:lang w:val="en-US"/>
        </w:rPr>
        <w:t>BGContentAdapter</w:t>
      </w:r>
      <w:proofErr w:type="spellEnd"/>
      <w:r>
        <w:rPr>
          <w:lang w:val="en-US"/>
        </w:rPr>
        <w:t xml:space="preserve"> SME Documentation</w:t>
      </w:r>
    </w:p>
    <w:p w14:paraId="58C9C5C5" w14:textId="77777777" w:rsidR="00297380" w:rsidRDefault="00297380" w:rsidP="00297380">
      <w:pPr>
        <w:rPr>
          <w:lang w:val="en-US"/>
        </w:rPr>
      </w:pPr>
    </w:p>
    <w:p w14:paraId="6D4F023E" w14:textId="23951847" w:rsidR="00297380" w:rsidRDefault="000C7F79" w:rsidP="00297380">
      <w:pPr>
        <w:pStyle w:val="Heading1"/>
        <w:rPr>
          <w:lang w:val="en-US"/>
        </w:rPr>
      </w:pPr>
      <w:r>
        <w:rPr>
          <w:lang w:val="en-US"/>
        </w:rPr>
        <w:t xml:space="preserve">Architectural </w:t>
      </w:r>
      <w:r w:rsidR="00297380">
        <w:rPr>
          <w:lang w:val="en-US"/>
        </w:rPr>
        <w:t xml:space="preserve">Overview </w:t>
      </w:r>
    </w:p>
    <w:p w14:paraId="0C37CC40" w14:textId="0F3FF8FD" w:rsidR="00297380" w:rsidRDefault="00297380" w:rsidP="002973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7380">
        <w:rPr>
          <w:lang w:val="en-US"/>
        </w:rPr>
        <w:t>BetGenius</w:t>
      </w:r>
      <w:proofErr w:type="spellEnd"/>
      <w:r w:rsidRPr="00297380">
        <w:rPr>
          <w:lang w:val="en-US"/>
        </w:rPr>
        <w:t xml:space="preserve"> is the second feed introduced after </w:t>
      </w:r>
      <w:proofErr w:type="spellStart"/>
      <w:r w:rsidRPr="00297380">
        <w:rPr>
          <w:lang w:val="en-US"/>
        </w:rPr>
        <w:t>BetRadar</w:t>
      </w:r>
      <w:proofErr w:type="spellEnd"/>
      <w:r w:rsidRPr="00297380">
        <w:rPr>
          <w:lang w:val="en-US"/>
        </w:rPr>
        <w:t xml:space="preserve">. </w:t>
      </w:r>
    </w:p>
    <w:p w14:paraId="25B97E34" w14:textId="77777777" w:rsidR="00CF71F3" w:rsidRPr="00297380" w:rsidRDefault="00CF71F3" w:rsidP="00CF71F3">
      <w:pPr>
        <w:pStyle w:val="ListParagraph"/>
        <w:ind w:left="414"/>
        <w:rPr>
          <w:lang w:val="en-US"/>
        </w:rPr>
      </w:pPr>
    </w:p>
    <w:p w14:paraId="3A0BB9B5" w14:textId="506221A6" w:rsidR="00297380" w:rsidRDefault="00297380" w:rsidP="002973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7380">
        <w:rPr>
          <w:lang w:val="en-US"/>
        </w:rPr>
        <w:t>BetGenius</w:t>
      </w:r>
      <w:proofErr w:type="spellEnd"/>
      <w:r w:rsidRPr="00297380">
        <w:rPr>
          <w:lang w:val="en-US"/>
        </w:rPr>
        <w:t xml:space="preserve"> sends the feed data through REST APIs exposed by </w:t>
      </w:r>
      <w:proofErr w:type="spellStart"/>
      <w:r w:rsidRPr="00297380">
        <w:rPr>
          <w:lang w:val="en-US"/>
        </w:rPr>
        <w:t>BGContentAdapter</w:t>
      </w:r>
      <w:proofErr w:type="spellEnd"/>
      <w:r w:rsidRPr="00297380">
        <w:rPr>
          <w:lang w:val="en-US"/>
        </w:rPr>
        <w:t>.</w:t>
      </w:r>
    </w:p>
    <w:p w14:paraId="516FB91A" w14:textId="77777777" w:rsidR="00CF71F3" w:rsidRPr="00CF71F3" w:rsidRDefault="00CF71F3" w:rsidP="00CF71F3">
      <w:pPr>
        <w:pStyle w:val="ListParagraph"/>
        <w:rPr>
          <w:lang w:val="en-US"/>
        </w:rPr>
      </w:pPr>
    </w:p>
    <w:p w14:paraId="0F7D353A" w14:textId="77777777" w:rsidR="00CF71F3" w:rsidRDefault="00CF71F3" w:rsidP="00CF71F3">
      <w:pPr>
        <w:pStyle w:val="ListParagraph"/>
        <w:ind w:left="414"/>
        <w:rPr>
          <w:lang w:val="en-US"/>
        </w:rPr>
      </w:pPr>
    </w:p>
    <w:p w14:paraId="1759640E" w14:textId="6DAC8C9C" w:rsidR="00491D83" w:rsidRDefault="00491D83" w:rsidP="0029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 after being </w:t>
      </w:r>
      <w:proofErr w:type="gramStart"/>
      <w:r>
        <w:rPr>
          <w:lang w:val="en-US"/>
        </w:rPr>
        <w:t>transformation</w:t>
      </w:r>
      <w:proofErr w:type="gramEnd"/>
      <w:r>
        <w:rPr>
          <w:lang w:val="en-US"/>
        </w:rPr>
        <w:t xml:space="preserve"> is added to E3F DB is put into Kafka to be consumed by </w:t>
      </w:r>
      <w:proofErr w:type="spellStart"/>
      <w:r>
        <w:rPr>
          <w:lang w:val="en-US"/>
        </w:rPr>
        <w:t>BrandMapper</w:t>
      </w:r>
      <w:proofErr w:type="spellEnd"/>
      <w:r>
        <w:rPr>
          <w:lang w:val="en-US"/>
        </w:rPr>
        <w:t>.</w:t>
      </w:r>
    </w:p>
    <w:p w14:paraId="4CC6C53C" w14:textId="1A0651BC" w:rsidR="00491D83" w:rsidRPr="00297380" w:rsidRDefault="00491D83" w:rsidP="00491D83">
      <w:pPr>
        <w:pStyle w:val="ListParagraph"/>
        <w:ind w:left="414"/>
        <w:rPr>
          <w:lang w:val="en-US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6D0CB8A" wp14:editId="062F3076">
            <wp:extent cx="5731510" cy="3895725"/>
            <wp:effectExtent l="0" t="0" r="2540" b="9525"/>
            <wp:docPr id="20131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1CC4" w14:textId="77777777" w:rsidR="00491D83" w:rsidRDefault="00491D83" w:rsidP="00491D83">
      <w:pPr>
        <w:pStyle w:val="ListParagraph"/>
        <w:ind w:left="414"/>
        <w:rPr>
          <w:lang w:val="en-US"/>
        </w:rPr>
      </w:pPr>
    </w:p>
    <w:p w14:paraId="4E3A288E" w14:textId="77777777" w:rsidR="00491D83" w:rsidRPr="00491D83" w:rsidRDefault="00491D83" w:rsidP="00491D83">
      <w:pPr>
        <w:ind w:left="54"/>
        <w:rPr>
          <w:lang w:val="en-US"/>
        </w:rPr>
      </w:pPr>
    </w:p>
    <w:p w14:paraId="19985D71" w14:textId="2997A032" w:rsidR="00297380" w:rsidRDefault="001267DD" w:rsidP="00126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</w:t>
      </w:r>
      <w:r w:rsidR="00491D83">
        <w:rPr>
          <w:lang w:val="en-US"/>
        </w:rPr>
        <w:t>is</w:t>
      </w:r>
      <w:r>
        <w:rPr>
          <w:lang w:val="en-US"/>
        </w:rPr>
        <w:t xml:space="preserve"> service isn’t horizontally scalable though it exposes REST APIs precisely because we can’t guarantee delivery of messages belonging to some event to same instance</w:t>
      </w:r>
      <w:r w:rsidR="00491D83">
        <w:rPr>
          <w:lang w:val="en-US"/>
        </w:rPr>
        <w:t xml:space="preserve">. For that we need </w:t>
      </w:r>
      <w:proofErr w:type="gramStart"/>
      <w:r w:rsidR="00491D83">
        <w:rPr>
          <w:lang w:val="en-US"/>
        </w:rPr>
        <w:t>application level</w:t>
      </w:r>
      <w:proofErr w:type="gramEnd"/>
      <w:r w:rsidR="00491D83">
        <w:rPr>
          <w:lang w:val="en-US"/>
        </w:rPr>
        <w:t xml:space="preserve"> load balancing</w:t>
      </w:r>
      <w:proofErr w:type="gramStart"/>
      <w:r w:rsidR="00491D83">
        <w:rPr>
          <w:lang w:val="en-US"/>
        </w:rPr>
        <w:t xml:space="preserve"> currently</w:t>
      </w:r>
      <w:proofErr w:type="gramEnd"/>
      <w:r w:rsidR="00491D83">
        <w:rPr>
          <w:lang w:val="en-US"/>
        </w:rPr>
        <w:t xml:space="preserve"> load balancing would happen at network level.</w:t>
      </w:r>
    </w:p>
    <w:p w14:paraId="33D1B2B0" w14:textId="77777777" w:rsidR="00CF71F3" w:rsidRDefault="00CF71F3" w:rsidP="00CF71F3">
      <w:pPr>
        <w:rPr>
          <w:lang w:val="en-US"/>
        </w:rPr>
      </w:pPr>
    </w:p>
    <w:p w14:paraId="51412F8D" w14:textId="77777777" w:rsidR="00CF71F3" w:rsidRDefault="00CF71F3" w:rsidP="00CF71F3">
      <w:pPr>
        <w:rPr>
          <w:lang w:val="en-US"/>
        </w:rPr>
      </w:pPr>
    </w:p>
    <w:p w14:paraId="008FB636" w14:textId="77777777" w:rsidR="00CF71F3" w:rsidRDefault="00CF71F3" w:rsidP="00CF71F3">
      <w:pPr>
        <w:rPr>
          <w:lang w:val="en-US"/>
        </w:rPr>
      </w:pPr>
    </w:p>
    <w:p w14:paraId="59F46669" w14:textId="77777777" w:rsidR="00CF71F3" w:rsidRDefault="00CF71F3" w:rsidP="00CF71F3">
      <w:pPr>
        <w:rPr>
          <w:lang w:val="en-US"/>
        </w:rPr>
      </w:pPr>
    </w:p>
    <w:p w14:paraId="5F3F0129" w14:textId="77777777" w:rsidR="00CF71F3" w:rsidRDefault="00CF71F3" w:rsidP="00CF71F3">
      <w:pPr>
        <w:rPr>
          <w:lang w:val="en-US"/>
        </w:rPr>
      </w:pPr>
    </w:p>
    <w:p w14:paraId="514526F2" w14:textId="77777777" w:rsidR="00CF71F3" w:rsidRDefault="00CF71F3" w:rsidP="00CF71F3">
      <w:pPr>
        <w:rPr>
          <w:lang w:val="en-US"/>
        </w:rPr>
      </w:pPr>
    </w:p>
    <w:p w14:paraId="7EFE01E2" w14:textId="22A0C1BA" w:rsidR="00CF71F3" w:rsidRDefault="00AB64FC" w:rsidP="00AB64FC">
      <w:pPr>
        <w:pStyle w:val="Heading1"/>
        <w:rPr>
          <w:lang w:val="en-US"/>
        </w:rPr>
      </w:pPr>
      <w:r>
        <w:rPr>
          <w:lang w:val="en-US"/>
        </w:rPr>
        <w:t>Internal</w:t>
      </w:r>
    </w:p>
    <w:p w14:paraId="6933C89E" w14:textId="4B65B4CF" w:rsidR="00CF71F3" w:rsidRDefault="00CF71F3" w:rsidP="00CF7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Internally we are following a pipeline pattern, where a group of workers designed for specific tasks are connected through Go </w:t>
      </w:r>
      <w:proofErr w:type="gramStart"/>
      <w:r>
        <w:rPr>
          <w:lang w:val="en-US"/>
        </w:rPr>
        <w:t>channels</w:t>
      </w:r>
      <w:proofErr w:type="gramEnd"/>
    </w:p>
    <w:p w14:paraId="352A42D2" w14:textId="77777777" w:rsidR="00CF71F3" w:rsidRDefault="00CF71F3" w:rsidP="00CF71F3">
      <w:pPr>
        <w:pStyle w:val="ListParagraph"/>
        <w:ind w:left="414"/>
        <w:rPr>
          <w:lang w:val="en-US"/>
        </w:rPr>
      </w:pPr>
    </w:p>
    <w:p w14:paraId="5C2D2FB6" w14:textId="5F221851" w:rsidR="00AB64FC" w:rsidRDefault="00AB64FC" w:rsidP="00AB64FC">
      <w:pPr>
        <w:pStyle w:val="Heading2"/>
        <w:rPr>
          <w:lang w:val="en-US"/>
        </w:rPr>
      </w:pPr>
      <w:r>
        <w:rPr>
          <w:lang w:val="en-US"/>
        </w:rPr>
        <w:t>Receiver</w:t>
      </w:r>
    </w:p>
    <w:p w14:paraId="168B5BAA" w14:textId="07D3C5D3" w:rsidR="00EF1D77" w:rsidRDefault="00CF71F3" w:rsidP="00EF1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only one receiver which receives </w:t>
      </w:r>
      <w:proofErr w:type="gramStart"/>
      <w:r>
        <w:rPr>
          <w:lang w:val="en-US"/>
        </w:rPr>
        <w:t>the  BG</w:t>
      </w:r>
      <w:proofErr w:type="gramEnd"/>
      <w:r>
        <w:rPr>
          <w:lang w:val="en-US"/>
        </w:rPr>
        <w:t xml:space="preserve"> message through REST and dispatches the message to one of the translators.</w:t>
      </w:r>
    </w:p>
    <w:p w14:paraId="0958A048" w14:textId="77777777" w:rsidR="00EF1D77" w:rsidRPr="00EF1D77" w:rsidRDefault="00EF1D77" w:rsidP="00EF1D77">
      <w:pPr>
        <w:rPr>
          <w:lang w:val="en-US"/>
        </w:rPr>
      </w:pPr>
    </w:p>
    <w:p w14:paraId="2ECD0828" w14:textId="7DEB4B56" w:rsidR="00CF71F3" w:rsidRPr="00CF71F3" w:rsidRDefault="00EF1D77" w:rsidP="00CF7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ensure the messages belonging to same event go to same </w:t>
      </w:r>
      <w:proofErr w:type="gramStart"/>
      <w:r>
        <w:rPr>
          <w:lang w:val="en-US"/>
        </w:rPr>
        <w:t>translator(</w:t>
      </w:r>
      <w:proofErr w:type="gramEnd"/>
      <w:r>
        <w:rPr>
          <w:lang w:val="en-US"/>
        </w:rPr>
        <w:t xml:space="preserve">to avoid race conditions), we rely on hashing based on </w:t>
      </w:r>
      <w:proofErr w:type="spellStart"/>
      <w:r>
        <w:rPr>
          <w:lang w:val="en-US"/>
        </w:rPr>
        <w:t>betgenius</w:t>
      </w:r>
      <w:proofErr w:type="spellEnd"/>
      <w:r>
        <w:rPr>
          <w:lang w:val="en-US"/>
        </w:rPr>
        <w:t>’ external event id.</w:t>
      </w:r>
    </w:p>
    <w:p w14:paraId="5B719400" w14:textId="77777777" w:rsidR="00491D83" w:rsidRDefault="00491D83" w:rsidP="00491D83">
      <w:pPr>
        <w:ind w:left="54"/>
        <w:rPr>
          <w:lang w:val="en-US"/>
        </w:rPr>
      </w:pPr>
    </w:p>
    <w:p w14:paraId="134CC874" w14:textId="7DEB0FF2" w:rsidR="00491D83" w:rsidRDefault="00CF71F3" w:rsidP="0049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DCFBA0A" wp14:editId="54A1DFB3">
            <wp:extent cx="5731510" cy="2296160"/>
            <wp:effectExtent l="0" t="0" r="2540" b="8890"/>
            <wp:docPr id="123163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9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D2E3" w14:textId="77777777" w:rsidR="00EF1D77" w:rsidRPr="00EF1D77" w:rsidRDefault="00EF1D77" w:rsidP="00EF1D77">
      <w:pPr>
        <w:pStyle w:val="ListParagraph"/>
        <w:rPr>
          <w:lang w:val="en-US"/>
        </w:rPr>
      </w:pPr>
    </w:p>
    <w:p w14:paraId="6D290E3B" w14:textId="13B6CECD" w:rsidR="00EF1D77" w:rsidRDefault="00233C3B" w:rsidP="00233C3B">
      <w:pPr>
        <w:pStyle w:val="Heading2"/>
        <w:rPr>
          <w:lang w:val="en-US"/>
        </w:rPr>
      </w:pPr>
      <w:r>
        <w:rPr>
          <w:lang w:val="en-US"/>
        </w:rPr>
        <w:t>Translator</w:t>
      </w:r>
    </w:p>
    <w:p w14:paraId="08C615A3" w14:textId="357E5A44" w:rsidR="00EF1D77" w:rsidRDefault="00EF1D77" w:rsidP="00EF1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translators and Publisher are configurable, but receiver </w:t>
      </w:r>
      <w:proofErr w:type="spellStart"/>
      <w:r>
        <w:rPr>
          <w:lang w:val="en-US"/>
        </w:rPr>
        <w:t>remain</w:t>
      </w:r>
      <w:r w:rsidR="00073682">
        <w:rPr>
          <w:lang w:val="en-US"/>
        </w:rPr>
        <w:t>’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one.</w:t>
      </w:r>
    </w:p>
    <w:p w14:paraId="0E1B9BAB" w14:textId="4FDFCC98" w:rsidR="00EF1D77" w:rsidRDefault="00EF1D77" w:rsidP="00EF1D77">
      <w:pPr>
        <w:pStyle w:val="ListParagraph"/>
        <w:ind w:left="414"/>
        <w:rPr>
          <w:lang w:val="en-US"/>
        </w:rPr>
      </w:pPr>
    </w:p>
    <w:p w14:paraId="302F057E" w14:textId="05A8FB88" w:rsidR="00EF1D77" w:rsidRDefault="00EF1D77" w:rsidP="00EF1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Translator layer’s job is to convert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BetGenius</w:t>
      </w:r>
      <w:proofErr w:type="spellEnd"/>
      <w:r>
        <w:rPr>
          <w:lang w:val="en-US"/>
        </w:rPr>
        <w:t xml:space="preserve"> to our own internal E3F format</w:t>
      </w:r>
      <w:r w:rsidR="00167854">
        <w:rPr>
          <w:lang w:val="en-US"/>
        </w:rPr>
        <w:t xml:space="preserve"> </w:t>
      </w:r>
      <w:proofErr w:type="gramStart"/>
      <w:r w:rsidR="00167854">
        <w:rPr>
          <w:lang w:val="en-US"/>
        </w:rPr>
        <w:t>and also</w:t>
      </w:r>
      <w:proofErr w:type="gramEnd"/>
      <w:r w:rsidR="00167854">
        <w:rPr>
          <w:lang w:val="en-US"/>
        </w:rPr>
        <w:t xml:space="preserve"> store data into its E3F DB.</w:t>
      </w:r>
    </w:p>
    <w:p w14:paraId="3FD4A23D" w14:textId="77777777" w:rsidR="00EF1D77" w:rsidRDefault="00EF1D77" w:rsidP="00EF1D77">
      <w:pPr>
        <w:pStyle w:val="ListParagraph"/>
        <w:rPr>
          <w:lang w:val="en-US"/>
        </w:rPr>
      </w:pPr>
    </w:p>
    <w:p w14:paraId="2A782757" w14:textId="4AD79BF7" w:rsidR="000F5DFA" w:rsidRDefault="000F5DFA" w:rsidP="000F5DFA">
      <w:pPr>
        <w:pStyle w:val="Heading2"/>
        <w:rPr>
          <w:lang w:val="en-US"/>
        </w:rPr>
      </w:pPr>
      <w:r>
        <w:rPr>
          <w:lang w:val="en-US"/>
        </w:rPr>
        <w:t>Publisher</w:t>
      </w:r>
    </w:p>
    <w:p w14:paraId="77AEDB41" w14:textId="02C0BBDC" w:rsidR="000F5DFA" w:rsidRDefault="00A14EC6" w:rsidP="000F5D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Publisher’s job is </w:t>
      </w:r>
      <w:proofErr w:type="gramStart"/>
      <w:r>
        <w:rPr>
          <w:lang w:val="en-US"/>
        </w:rPr>
        <w:t>receive</w:t>
      </w:r>
      <w:proofErr w:type="gramEnd"/>
      <w:r>
        <w:rPr>
          <w:lang w:val="en-US"/>
        </w:rPr>
        <w:t xml:space="preserve"> message from Translator and push it to Kafka for further cons</w:t>
      </w:r>
      <w:r w:rsidR="00F17501">
        <w:rPr>
          <w:lang w:val="en-US"/>
        </w:rPr>
        <w:t xml:space="preserve">umption by </w:t>
      </w:r>
      <w:proofErr w:type="spellStart"/>
      <w:r w:rsidR="00F17501">
        <w:rPr>
          <w:lang w:val="en-US"/>
        </w:rPr>
        <w:t>BrandMapper</w:t>
      </w:r>
      <w:proofErr w:type="spellEnd"/>
    </w:p>
    <w:p w14:paraId="4B2404B0" w14:textId="3F848F41" w:rsidR="00EF1D77" w:rsidRDefault="00460231" w:rsidP="000F5DF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460231">
        <w:rPr>
          <w:lang w:val="en-US"/>
        </w:rPr>
        <w:t>Number</w:t>
      </w:r>
      <w:proofErr w:type="gramEnd"/>
      <w:r w:rsidRPr="00460231">
        <w:rPr>
          <w:lang w:val="en-US"/>
        </w:rPr>
        <w:t xml:space="preserve"> of c</w:t>
      </w:r>
      <w:r>
        <w:rPr>
          <w:lang w:val="en-US"/>
        </w:rPr>
        <w:t xml:space="preserve">hannels remain same as number of workers as each channel connects to unique </w:t>
      </w:r>
      <w:r w:rsidR="00446796">
        <w:rPr>
          <w:lang w:val="en-US"/>
        </w:rPr>
        <w:t>publisher.</w:t>
      </w:r>
    </w:p>
    <w:p w14:paraId="5FE16613" w14:textId="77777777" w:rsidR="00FB01FC" w:rsidRDefault="00FB01FC" w:rsidP="00FB01FC">
      <w:pPr>
        <w:rPr>
          <w:lang w:val="en-US"/>
        </w:rPr>
      </w:pPr>
    </w:p>
    <w:p w14:paraId="1FB8F7DE" w14:textId="0C923998" w:rsidR="00FB01FC" w:rsidRDefault="00F51630" w:rsidP="00FB01FC">
      <w:pPr>
        <w:pStyle w:val="Heading1"/>
        <w:rPr>
          <w:lang w:val="en-US"/>
        </w:rPr>
      </w:pPr>
      <w:r>
        <w:rPr>
          <w:lang w:val="en-US"/>
        </w:rPr>
        <w:lastRenderedPageBreak/>
        <w:t>Tables</w:t>
      </w:r>
    </w:p>
    <w:p w14:paraId="04359627" w14:textId="6619E5AD" w:rsidR="00F51630" w:rsidRDefault="00F51630" w:rsidP="00F51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A8D03D4" wp14:editId="6D004173">
            <wp:extent cx="5731510" cy="2844165"/>
            <wp:effectExtent l="0" t="0" r="2540" b="0"/>
            <wp:docPr id="58023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38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56DA" w14:textId="49C4341A" w:rsidR="00E241F2" w:rsidRDefault="0027677C" w:rsidP="00F516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70FABAE" wp14:editId="676FE8FA">
            <wp:extent cx="5731510" cy="4664710"/>
            <wp:effectExtent l="0" t="0" r="2540" b="2540"/>
            <wp:docPr id="1488680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806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A080" w14:textId="77777777" w:rsidR="00DF6C70" w:rsidRDefault="00DF6C70" w:rsidP="00DF6C70">
      <w:pPr>
        <w:rPr>
          <w:lang w:val="en-US"/>
        </w:rPr>
      </w:pPr>
    </w:p>
    <w:p w14:paraId="11A512D8" w14:textId="3B0D9AA7" w:rsidR="00666723" w:rsidRDefault="00666723" w:rsidP="00666723">
      <w:pPr>
        <w:pStyle w:val="Heading1"/>
        <w:rPr>
          <w:lang w:val="en-US"/>
        </w:rPr>
      </w:pPr>
      <w:r>
        <w:rPr>
          <w:lang w:val="en-US"/>
        </w:rPr>
        <w:t>Kafka Topics</w:t>
      </w:r>
    </w:p>
    <w:p w14:paraId="4A866CE4" w14:textId="226CC057" w:rsidR="0015738B" w:rsidRPr="00E10352" w:rsidRDefault="0015738B" w:rsidP="00E1035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10352">
        <w:rPr>
          <w:lang w:val="en-US"/>
        </w:rPr>
        <w:t>env.e</w:t>
      </w:r>
      <w:proofErr w:type="gramEnd"/>
      <w:r w:rsidRPr="00E10352">
        <w:rPr>
          <w:lang w:val="en-US"/>
        </w:rPr>
        <w:t>3fvenues</w:t>
      </w:r>
    </w:p>
    <w:p w14:paraId="7A2AC399" w14:textId="02F71E4E" w:rsidR="001E55DB" w:rsidRDefault="001E55DB" w:rsidP="00E10352">
      <w:pPr>
        <w:pStyle w:val="ListParagraph"/>
        <w:numPr>
          <w:ilvl w:val="0"/>
          <w:numId w:val="1"/>
        </w:numPr>
      </w:pPr>
      <w:proofErr w:type="gramStart"/>
      <w:r>
        <w:lastRenderedPageBreak/>
        <w:t>env</w:t>
      </w:r>
      <w:r>
        <w:t>.e</w:t>
      </w:r>
      <w:proofErr w:type="gramEnd"/>
      <w:r>
        <w:t>3fcompetitions</w:t>
      </w:r>
    </w:p>
    <w:p w14:paraId="7FD14895" w14:textId="7126AE92" w:rsidR="0015738B" w:rsidRDefault="0015738B" w:rsidP="00E10352">
      <w:pPr>
        <w:pStyle w:val="ListParagraph"/>
        <w:numPr>
          <w:ilvl w:val="0"/>
          <w:numId w:val="1"/>
        </w:numPr>
      </w:pPr>
      <w:proofErr w:type="gramStart"/>
      <w:r>
        <w:t>env.</w:t>
      </w:r>
      <w:r w:rsidR="00E10352">
        <w:t>e</w:t>
      </w:r>
      <w:proofErr w:type="gramEnd"/>
      <w:r w:rsidR="00E10352">
        <w:t>3fevents</w:t>
      </w:r>
    </w:p>
    <w:p w14:paraId="1A6F3481" w14:textId="61A1D065" w:rsidR="00E10352" w:rsidRDefault="00E10352" w:rsidP="00E10352">
      <w:pPr>
        <w:pStyle w:val="ListParagraph"/>
        <w:numPr>
          <w:ilvl w:val="0"/>
          <w:numId w:val="1"/>
        </w:numPr>
      </w:pPr>
      <w:r>
        <w:t>env.e3fmarkets</w:t>
      </w:r>
    </w:p>
    <w:p w14:paraId="49883175" w14:textId="665FF31C" w:rsidR="00B95210" w:rsidRDefault="00B95210" w:rsidP="00DF6C70">
      <w:pPr>
        <w:pStyle w:val="Heading1"/>
        <w:rPr>
          <w:lang w:val="en-US"/>
        </w:rPr>
      </w:pPr>
    </w:p>
    <w:p w14:paraId="1C3D4A5F" w14:textId="5E13CD40" w:rsidR="00DF6C70" w:rsidRDefault="00DF6C70" w:rsidP="00DF6C70">
      <w:pPr>
        <w:pStyle w:val="Heading1"/>
        <w:rPr>
          <w:lang w:val="en-US"/>
        </w:rPr>
      </w:pPr>
      <w:r>
        <w:rPr>
          <w:lang w:val="en-US"/>
        </w:rPr>
        <w:t>APIs</w:t>
      </w:r>
      <w:r w:rsidR="00B95210">
        <w:rPr>
          <w:lang w:val="en-US"/>
        </w:rPr>
        <w:t xml:space="preserve"> for </w:t>
      </w:r>
      <w:proofErr w:type="spellStart"/>
      <w:r w:rsidR="00B95210">
        <w:rPr>
          <w:lang w:val="en-US"/>
        </w:rPr>
        <w:t>Betgenius</w:t>
      </w:r>
      <w:proofErr w:type="spellEnd"/>
    </w:p>
    <w:p w14:paraId="130E7F49" w14:textId="77777777" w:rsidR="00610643" w:rsidRPr="00610643" w:rsidRDefault="00610643" w:rsidP="006106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106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6106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message</w:t>
      </w:r>
      <w:proofErr w:type="gramEnd"/>
    </w:p>
    <w:p w14:paraId="7C2D6BD0" w14:textId="77777777" w:rsidR="00B95210" w:rsidRDefault="00B95210" w:rsidP="00B95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</w:pPr>
      <w:r w:rsidRPr="00B952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B9521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heartbeat</w:t>
      </w:r>
      <w:proofErr w:type="gramEnd"/>
    </w:p>
    <w:p w14:paraId="16003F3B" w14:textId="77777777" w:rsidR="001959B6" w:rsidRPr="001959B6" w:rsidRDefault="001959B6" w:rsidP="001959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959B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</w:t>
      </w:r>
      <w:proofErr w:type="spellStart"/>
      <w:proofErr w:type="gramStart"/>
      <w:r w:rsidRPr="001959B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bbmessage</w:t>
      </w:r>
      <w:proofErr w:type="spellEnd"/>
      <w:proofErr w:type="gramEnd"/>
    </w:p>
    <w:p w14:paraId="4AD1E7F0" w14:textId="05CB301A" w:rsidR="00B95210" w:rsidRDefault="00B95210" w:rsidP="00B95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DAFD54E" w14:textId="77777777" w:rsidR="00750EF9" w:rsidRDefault="00750EF9" w:rsidP="00B95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A47EB27" w14:textId="15D4A78A" w:rsidR="00B62EA8" w:rsidRDefault="00B62EA8" w:rsidP="00B62EA8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Configs</w:t>
      </w:r>
    </w:p>
    <w:p w14:paraId="49F820E6" w14:textId="77777777" w:rsidR="00EA076B" w:rsidRPr="00EA076B" w:rsidRDefault="00EA076B" w:rsidP="00EA07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e3dPrefix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"e3dPrefix"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"BG-"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"Prefix for e3d Id"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dataReceivers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"receivers"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betgenius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"list of receivers"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betgeniusFeedDefinitionID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receiver.betgenius.feedDefinitionId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"BETGENIUS"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"feed definition id of 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betgenius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provider"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betgeniusReceivingPort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receiver.betgenius.receiver.port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"port of 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betgenius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http server"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betgeniusDelayMs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Int64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receiver.betgenius.delayms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25000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betgenius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delay in 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millis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for suspending offer"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e3fReceiverKafkaBrokers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"receiver.e3f.kafka.brokers"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"CSV list of 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broker IP:PORT"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e3fReceiverKafkaGroupName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"receiver.e3f.kafka.groupName"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"group name of 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receiver"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e3fPublisherKafkaBrokers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"publisher.e3f.kafka.brokers"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"CSV list of 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broker IP:PORT"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kafkaVersion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kafka.version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API version"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dbName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"db.name"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"name of database"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dbHost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db.host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"host where 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is located"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dbPort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db.port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"port on 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whitch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database is listening"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dbUser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db.user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user"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dbPass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db.pass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"password for database"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cacheSize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cache.size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10000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"size of the cache"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dataPublishers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"publishers"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"list of publishers"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e3WsURL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"publisher.e3ws.url"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"location of e3d service"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controllerTranslatorThreads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controller.translatorthreads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"number of goroutines servicing 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translationg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controllerMaxReceivedNotTranslated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controller.maxreceivednottranslated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100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"number of max received not translating messages"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controllerMaxReceivedNotTranslatedIdleMs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controller.maxreceivednottranslatedidlems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100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"idle time after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lastRenderedPageBreak/>
        <w:t>max received not translating messages reached"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controllerE3WsPublisherThreads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"controller.e3ws.publisherthreads"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"number of go routines servicing e3ws publishing"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controllerE3WsPublisherBufferSize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"controller.e3ws.publisherbuffersize"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100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"buffer size of controller publisher queues"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port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health.port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":8080"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"Listening port"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internalAPIsPort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internalapis.port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":8880"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"Internal APIs listening port"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loggingTime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Bool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logging.logtime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"log time with every message"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dummyRun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Bool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"dummy"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"Dummy service run: no publishing, no database write"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monitoringNotificationsEnabled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Bool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monitoring.notificationsenabled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"monitoring notifications enabled"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e3fRecoveryPeriodLimit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"e3f.recovery.period"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60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"period between two e3f recovery requests for same id"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coverageflag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Bool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coverage.flag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"coverage flag for enabling coverage implementation"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restrictMarketWithDuplicateName</w:t>
      </w:r>
      <w:proofErr w:type="spellEnd"/>
      <w:r w:rsidRPr="00EA07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A076B">
        <w:rPr>
          <w:rFonts w:ascii="Courier New" w:eastAsia="Times New Roman" w:hAnsi="Courier New" w:cs="Courier New"/>
          <w:color w:val="805900"/>
          <w:kern w:val="0"/>
          <w:sz w:val="20"/>
          <w:szCs w:val="20"/>
          <w:lang w:eastAsia="en-IN"/>
          <w14:ligatures w14:val="none"/>
        </w:rPr>
        <w:t>flag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EA076B">
        <w:rPr>
          <w:rFonts w:ascii="Courier New" w:eastAsia="Times New Roman" w:hAnsi="Courier New" w:cs="Courier New"/>
          <w:color w:val="36666B"/>
          <w:kern w:val="0"/>
          <w:sz w:val="20"/>
          <w:szCs w:val="20"/>
          <w:lang w:eastAsia="en-IN"/>
          <w14:ligatures w14:val="none"/>
        </w:rPr>
        <w:t>Bool</w:t>
      </w:r>
      <w:proofErr w:type="spellEnd"/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duplicateMarketName.flag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duplicateMarketName</w:t>
      </w:r>
      <w:proofErr w:type="spellEnd"/>
      <w:r w:rsidRPr="00EA076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flag enable the markets with the duplicate name for an event"</w:t>
      </w:r>
      <w:r w:rsidRPr="00EA076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2A538729" w14:textId="77777777" w:rsidR="00EA076B" w:rsidRPr="00EA076B" w:rsidRDefault="00EA076B" w:rsidP="00EA076B">
      <w:pPr>
        <w:rPr>
          <w:lang w:eastAsia="en-IN"/>
        </w:rPr>
      </w:pPr>
    </w:p>
    <w:p w14:paraId="5A96C0C0" w14:textId="5438072C" w:rsidR="003603CD" w:rsidRPr="003603CD" w:rsidRDefault="003603CD" w:rsidP="003603CD">
      <w:pPr>
        <w:rPr>
          <w:lang w:eastAsia="en-IN"/>
        </w:rPr>
      </w:pPr>
    </w:p>
    <w:p w14:paraId="60EC1726" w14:textId="06F3FA92" w:rsidR="00DF6C70" w:rsidRPr="00610643" w:rsidRDefault="00DF6C70" w:rsidP="00B95210">
      <w:pPr>
        <w:pStyle w:val="ListParagraph"/>
        <w:ind w:left="414"/>
        <w:rPr>
          <w:lang w:val="en-US"/>
        </w:rPr>
      </w:pPr>
    </w:p>
    <w:sectPr w:rsidR="00DF6C70" w:rsidRPr="0061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00FD"/>
    <w:multiLevelType w:val="hybridMultilevel"/>
    <w:tmpl w:val="B354394E"/>
    <w:lvl w:ilvl="0" w:tplc="E2404782">
      <w:numFmt w:val="bullet"/>
      <w:lvlText w:val=""/>
      <w:lvlJc w:val="left"/>
      <w:pPr>
        <w:ind w:left="41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num w:numId="1" w16cid:durableId="6721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80"/>
    <w:rsid w:val="00073682"/>
    <w:rsid w:val="00080931"/>
    <w:rsid w:val="000C6A59"/>
    <w:rsid w:val="000C7F79"/>
    <w:rsid w:val="000F5DFA"/>
    <w:rsid w:val="001267DD"/>
    <w:rsid w:val="0015738B"/>
    <w:rsid w:val="00167854"/>
    <w:rsid w:val="001959B6"/>
    <w:rsid w:val="001E55DB"/>
    <w:rsid w:val="00233C3B"/>
    <w:rsid w:val="0027677C"/>
    <w:rsid w:val="00297380"/>
    <w:rsid w:val="003603CD"/>
    <w:rsid w:val="003C32CC"/>
    <w:rsid w:val="00446796"/>
    <w:rsid w:val="00460231"/>
    <w:rsid w:val="00491D83"/>
    <w:rsid w:val="00610643"/>
    <w:rsid w:val="00666723"/>
    <w:rsid w:val="006D176E"/>
    <w:rsid w:val="00750EF9"/>
    <w:rsid w:val="00915D6A"/>
    <w:rsid w:val="00A14EC6"/>
    <w:rsid w:val="00AB64FC"/>
    <w:rsid w:val="00B62EA8"/>
    <w:rsid w:val="00B95210"/>
    <w:rsid w:val="00BE0059"/>
    <w:rsid w:val="00CF71F3"/>
    <w:rsid w:val="00DF6C70"/>
    <w:rsid w:val="00E10352"/>
    <w:rsid w:val="00E241F2"/>
    <w:rsid w:val="00EA076B"/>
    <w:rsid w:val="00EF1D77"/>
    <w:rsid w:val="00F17501"/>
    <w:rsid w:val="00F51630"/>
    <w:rsid w:val="00F9295B"/>
    <w:rsid w:val="00FB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1F88"/>
  <w15:chartTrackingRefBased/>
  <w15:docId w15:val="{B1E1353C-2165-4FDB-9870-1189CEF8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380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491D83"/>
  </w:style>
  <w:style w:type="character" w:customStyle="1" w:styleId="Heading2Char">
    <w:name w:val="Heading 2 Char"/>
    <w:basedOn w:val="DefaultParagraphFont"/>
    <w:link w:val="Heading2"/>
    <w:uiPriority w:val="9"/>
    <w:rsid w:val="00AB6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13A21320431E4EA07652E8B01B0D70" ma:contentTypeVersion="12" ma:contentTypeDescription="Create a new document." ma:contentTypeScope="" ma:versionID="88fa2696cbcaaf90b7e117662e6e0aaf">
  <xsd:schema xmlns:xsd="http://www.w3.org/2001/XMLSchema" xmlns:xs="http://www.w3.org/2001/XMLSchema" xmlns:p="http://schemas.microsoft.com/office/2006/metadata/properties" xmlns:ns2="3498cc42-3371-4317-824b-4d85e8224ebc" xmlns:ns3="8086ffd2-3b56-4f09-bfc7-a7ff319c3c5e" targetNamespace="http://schemas.microsoft.com/office/2006/metadata/properties" ma:root="true" ma:fieldsID="56e2fa150b3778857015e34ed05571e7" ns2:_="" ns3:_="">
    <xsd:import namespace="3498cc42-3371-4317-824b-4d85e8224ebc"/>
    <xsd:import namespace="8086ffd2-3b56-4f09-bfc7-a7ff319c3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8cc42-3371-4317-824b-4d85e8224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19bc2ba-8b7e-4131-b1c3-87aa1005be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6ffd2-3b56-4f09-bfc7-a7ff319c3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98cc42-3371-4317-824b-4d85e8224eb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B5F62-E410-4220-93C1-8AD196F1E3CF}"/>
</file>

<file path=customXml/itemProps2.xml><?xml version="1.0" encoding="utf-8"?>
<ds:datastoreItem xmlns:ds="http://schemas.openxmlformats.org/officeDocument/2006/customXml" ds:itemID="{DE7862C4-C0F2-4709-8296-811EB6C97F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24079-48F6-40C3-BC68-60495BCD982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ea04656-16a0-4a75-8a59-57ef5ca15bc5"/>
    <ds:schemaRef ds:uri="8f4a9393-f2bf-4091-b365-1ad7a041178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E99F836-892C-49FB-B93E-E0AC0598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Dhull</dc:creator>
  <cp:keywords/>
  <dc:description/>
  <cp:lastModifiedBy>Sumit Dhull</cp:lastModifiedBy>
  <cp:revision>2</cp:revision>
  <dcterms:created xsi:type="dcterms:W3CDTF">2023-11-24T06:05:00Z</dcterms:created>
  <dcterms:modified xsi:type="dcterms:W3CDTF">2023-11-24T06:05:00Z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0x0101003E13A21320431E4EA07652E8B01B0D70</vt:lpwstr>
  </property>
</Properties>
</file>