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0"/>
        </w:rPr>
        <w:t>Anti-Money Laundering (AML) on Bitcoin:</w:t>
        <w:br/>
        <w:t>Comprehensive Phase-by-Phase Technical Research Report</w:t>
      </w:r>
    </w:p>
    <w:p>
      <w:pPr>
        <w:spacing w:after="200"/>
      </w:pPr>
      <w:r>
        <w:rPr>
          <w:i/>
          <w:color w:val="555555"/>
          <w:sz w:val="20"/>
        </w:rPr>
        <w:t>Complete End-to-End Pipeline: Raw Data, Preprocessing, Pseudo-Labeling, and Multi-Stage GNN Training</w:t>
        <w:br/>
        <w:t>Dataset: Elliptic Bitcoin Graph (203,769 Nodes, 234,355 Directed Edges, 165 Features, 49 Timesteps)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BF2F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Exact Phase-Wise Structure Requested by User:</w:t>
              <w:br/>
            </w:r>
            <w:r>
              <w:rPr>
                <w:color w:val="2C3E50"/>
                <w:sz w:val="17"/>
              </w:rPr>
              <w:t>• Phase 0: Raw Data and EDA (Dataset Architecture, Degree Topometry, Homophily, Outliers, 77% Unlabeled Bottleneck)</w:t>
              <w:br/>
              <w:t>• Phase 1: Data Preprocessing, Splits and All (Hash Mapping, Z-score Standardization, Causality-Preserving Temporal Splits, PyG Graph)</w:t>
              <w:br/>
              <w:t>• Phase 2: ML Training 1 (Sparse Ground-Truth Benchmark, Class Imbalance Skew, Graph Disconnection Analysis)</w:t>
              <w:br/>
              <w:t>• Phase 3: Labeling Unknown Labels (Multi-Pass Self-Training, Probabilistic Confidence Calibration, 100% Graph Resolution)</w:t>
              <w:br/>
              <w:t>• Phase 4: ML Training 2 (100% Labeled Graph Benchmark, 26.4x Illicit Capture Surge, AUC-ROC 0.9350)</w:t>
              <w:br/>
              <w:t>• Phase 5: ML Training 3 (Directional Residual GNNs, Soft Confidence Weighting, Bayesian Epistemic Uncertainty Quantification)</w:t>
              <w:br/>
              <w:t>• Phase 6: Comparison and Conclusion of ML Training (Comprehensive Master Matrix, Trade-Offs, Production &amp; Paper Recommendations)</w:t>
            </w:r>
          </w:p>
        </w:tc>
      </w:tr>
    </w:tbl>
    <w:p>
      <w:pPr>
        <w:pStyle w:val="Heading2"/>
        <w:spacing w:before="280" w:after="80"/>
      </w:pPr>
      <w:r>
        <w:rPr>
          <w:b/>
          <w:color w:val="2C3E50"/>
          <w:sz w:val="24"/>
        </w:rPr>
        <w:t>Master Pipeline Architecture Flowchart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78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_master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555555"/>
          <w:sz w:val="17"/>
        </w:rPr>
        <w:t>Figure 1: Master Architecture Flowchart — Full End-to-End AML Graph Intelligence Pipeline</w:t>
      </w:r>
    </w:p>
    <w:p>
      <w:pPr>
        <w:pStyle w:val="Heading1"/>
        <w:spacing w:before="280" w:after="80"/>
      </w:pPr>
      <w:r>
        <w:rPr>
          <w:b/>
          <w:color w:val="1B365D"/>
          <w:sz w:val="31"/>
        </w:rPr>
        <w:t>Phase 0: Raw Data and EDA</w:t>
      </w:r>
    </w:p>
    <w:p>
      <w:r>
        <w:t>The experimental pipeline operates on the Elliptic Bitcoin Transaction Dataset, the leading forensic benchmark for anti-money laundering on blockchains. The raw dataset is provided in three primary relational CSV tables:</w:t>
      </w:r>
    </w:p>
    <w:p>
      <w:r>
        <w:t>1. elliptic_txs_features.csv (203,769 rows x 167 columns):</w:t>
        <w:br/>
        <w:t xml:space="preserve">   - Column 0: Transaction ID hash (txId), representing a unique 64-bit hexadecimal transaction on the Bitcoin ledger.</w:t>
        <w:br/>
        <w:t xml:space="preserve">   - Column 1: Discrete timestep index (1 through 49), where each timestep corresponds to an approximate two-week chronological window.</w:t>
        <w:br/>
        <w:t xml:space="preserve">   - Columns 2–166 (165 continuous technical features):</w:t>
        <w:br/>
        <w:t xml:space="preserve">     * Local Features (Features 1–93): Direct properties of the transaction itself, including transaction fees, BTC transaction volume, input count, output count, fee-to-volume ratio, and script version.</w:t>
        <w:br/>
        <w:t xml:space="preserve">     * Aggregated 1-Hop Neighbor Features (Features 94–165): Contextual information aggregated from direct predecessors and successors, including the mean, maximum, minimum, sum, and standard deviation of adjacent transaction fees and BTC amounts.</w:t>
        <w:br/>
        <w:t>2. elliptic_txs_edgelist.csv (234,355 directed edges):</w:t>
        <w:br/>
        <w:t xml:space="preserve">   - Directed payment transfer links (txId1 -&gt; txId2) representing the movement of funds from input unspent transaction outputs (UTXOs) to consuming transactions.</w:t>
        <w:br/>
        <w:t>3. elliptic_txs_classes.csv (203,769 label entries):</w:t>
        <w:br/>
        <w:t xml:space="preserve">   - Class 1 (Illicit): 4,545 transactions (2.23% of nodes) confirmed to be associated with ransomware, darknet markets, scams, terrorism financing, or sanctioned wallets.</w:t>
        <w:br/>
        <w:t xml:space="preserve">   - Class 2 (Licit): 42,019 transactions (20.62% of nodes) confirmed to belong to licensed exchanges, institutional custodians, mining pools, or licit merchant services.</w:t>
        <w:br/>
        <w:t xml:space="preserve">   - 'unknown' (Unlabeled): 157,205 transactions (77.15% of nodes) lacking verified forensic labels.</w:t>
      </w:r>
    </w:p>
    <w:p>
      <w:pPr>
        <w:pStyle w:val="Heading2"/>
        <w:spacing w:before="280" w:after="80"/>
      </w:pPr>
      <w:r>
        <w:rPr>
          <w:b/>
          <w:color w:val="2C3E50"/>
          <w:sz w:val="24"/>
        </w:rPr>
        <w:t>Exploratory Data Analysis: Key Findings &amp; Topometry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600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Dataset Characteristic</w:t>
            </w:r>
          </w:p>
        </w:tc>
        <w:tc>
          <w:tcPr>
            <w:tcW w:type="dxa" w:w="2160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Full Graph Count</w:t>
            </w:r>
          </w:p>
        </w:tc>
        <w:tc>
          <w:tcPr>
            <w:tcW w:type="dxa" w:w="2160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Forensic Labeled Subset</w:t>
            </w:r>
          </w:p>
        </w:tc>
        <w:tc>
          <w:tcPr>
            <w:tcW w:type="dxa" w:w="2160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Percentage of Graph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Total Transactions (Nodes)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203,769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46,564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100.0% (Labeled: 22.85%)</w:t>
            </w:r>
          </w:p>
        </w:tc>
      </w:tr>
      <w:tr>
        <w:tc>
          <w:tcPr>
            <w:tcW w:type="dxa" w:w="360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Licit Transactions (Class 2)</w:t>
            </w:r>
          </w:p>
        </w:tc>
        <w:tc>
          <w:tcPr>
            <w:tcW w:type="dxa" w:w="216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42,019 (raw)</w:t>
            </w:r>
          </w:p>
        </w:tc>
        <w:tc>
          <w:tcPr>
            <w:tcW w:type="dxa" w:w="216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42,019</w:t>
            </w:r>
          </w:p>
        </w:tc>
        <w:tc>
          <w:tcPr>
            <w:tcW w:type="dxa" w:w="216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20.62% of raw nodes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Illicit Transactions (Class 1)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4,545 (raw)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4,545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2.23% of raw nodes</w:t>
            </w:r>
          </w:p>
        </w:tc>
      </w:tr>
      <w:tr>
        <w:tc>
          <w:tcPr>
            <w:tcW w:type="dxa" w:w="360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Unlabeled Transactions ('unknown')</w:t>
            </w:r>
          </w:p>
        </w:tc>
        <w:tc>
          <w:tcPr>
            <w:tcW w:type="dxa" w:w="216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157,205</w:t>
            </w:r>
          </w:p>
        </w:tc>
        <w:tc>
          <w:tcPr>
            <w:tcW w:type="dxa" w:w="216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216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77.15% of total graph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Directed Flow Edges (Payments)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234,355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Variable / Severed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100.0% connectivity</w:t>
            </w:r>
          </w:p>
        </w:tc>
      </w:tr>
      <w:tr>
        <w:tc>
          <w:tcPr>
            <w:tcW w:type="dxa" w:w="360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Graph Node Features Dimension</w:t>
            </w:r>
          </w:p>
        </w:tc>
        <w:tc>
          <w:tcPr>
            <w:tcW w:type="dxa" w:w="216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165 features</w:t>
            </w:r>
          </w:p>
        </w:tc>
        <w:tc>
          <w:tcPr>
            <w:tcW w:type="dxa" w:w="216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165 features</w:t>
            </w:r>
          </w:p>
        </w:tc>
        <w:tc>
          <w:tcPr>
            <w:tcW w:type="dxa" w:w="216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Float32 continuous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Temporal Span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49 discrete timesteps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49 timesteps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2-week discrete epochs</w:t>
            </w:r>
          </w:p>
        </w:tc>
      </w:tr>
    </w:tbl>
    <w:p>
      <w:r>
        <w:t>Key Analytical Observations from EDA:</w:t>
        <w:br/>
        <w:t>• Severe Topological Degree Asymmetry: Licit entities have an average total degree of 2.42 (In-degree 1.24, Out-degree 1.18, Max 473), while illicit entities have an average total degree of 1.86 (In-degree 0.81, Out-degree 1.05, Max 177). Legitimate accounts participate in complex commercial webs, whereas criminals structure transactions into narrow, linear peeling chains to rapidly disperse funds.</w:t>
        <w:br/>
        <w:t>• Pronounced Edge Homophily: Edge source-destination analysis demonstrates that 55.25% of illicit outflows route directly into other illicit transactions, and 94.63% of licit outflows route into licit transactions. This proves that criminal money laundering clusters into dense subgraphs, providing strong justification for Graph Neural Networks that aggregate relational neighborhood representations.</w:t>
        <w:br/>
        <w:t>• Outlier Analysis (IQR Method): Features such as feat_52 (18.64% outliers) and feat_144 (14.78% outliers) exhibit heavy-tailed distributions. Illicit transactions show significantly higher outlier rates in BTC transfer amounts and fee ratios, indicating anomalous spikes.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30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_eda_top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555555"/>
          <w:sz w:val="17"/>
        </w:rPr>
        <w:t>Figure 2: Phase 0 Flowchart — Raw Data Ingestion, Degree Topometry &amp; Homophily Analysis</w:t>
      </w:r>
    </w:p>
    <w:p>
      <w:pPr>
        <w:pStyle w:val="Heading1"/>
        <w:spacing w:before="280" w:after="80"/>
      </w:pPr>
      <w:r>
        <w:rPr>
          <w:b/>
          <w:color w:val="1B365D"/>
          <w:sz w:val="31"/>
        </w:rPr>
        <w:t>Phase 1: Data Preprocessing, Splits and All</w:t>
      </w:r>
    </w:p>
    <w:p>
      <w:r>
        <w:t>Phase 1 transformed the raw tabular files into an optimized PyTorch Geometric graph data structure while strictly preventing future data leakage:</w:t>
      </w:r>
    </w:p>
    <w:p>
      <w:r>
        <w:t>1. Injective Hash Re-Indexing: Bitcoin transaction hashes are arbitrary 64-bit strings. We established an injective mapping:</w:t>
        <w:br/>
        <w:t xml:space="preserve">      phi: txId -&gt; {0, 1, ..., 203,768}</w:t>
        <w:br/>
        <w:t xml:space="preserve">   The edge list was mapped into a PyTorch-compatible coordinate tensor: edge_index in R^(2 x 234,355).</w:t>
        <w:br/>
        <w:t>2. Leakage-Free Z-Score Normalization: The 165 continuous features were normalized using StandardScaler. To ensure zero lookahead leakage, the mean and standard deviation parameters were fitted strictly on training timesteps (t &lt;= 30) and applied to validation (t=31-34) and testing (t=35-49) splits.</w:t>
        <w:br/>
        <w:t>3. Strict Temporal Splitting (Honoring Causality): Traditional random k-fold cross-validation is invalid in cryptocurrency forensics because it uses future laundering transactions to predict past events. Strict temporal splits were established:</w:t>
        <w:br/>
        <w:t xml:space="preserve">   - Train Split: Timesteps 1 to 30 (123,287 total nodes; 26,905 labeled ground-truth nodes)</w:t>
        <w:br/>
        <w:t xml:space="preserve">   - Validation / Calibration Split: Timesteps 31 to 34 (12,978 total nodes; 2,989 labeled ground-truth nodes)</w:t>
        <w:br/>
        <w:t xml:space="preserve">   - Test Split: Timesteps 35 to 49 (67,504 total nodes; 16,670 labeled ground-truth nodes)</w:t>
        <w:br/>
        <w:t>4. Graph Serialization: The node feature tensor X in R^(203,769 x 165), edge_index, labels y, and split masks were saved as dataset/elliptic_pyg_data.pt (142 MB).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30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_preprocessing_spl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555555"/>
          <w:sz w:val="17"/>
        </w:rPr>
        <w:t>Figure 3: Phase 1 Flowchart — Injective Hash Mapping, StandardScaler Scaling, and Strict Temporal Partitioning</w:t>
      </w:r>
    </w:p>
    <w:p>
      <w:pPr>
        <w:pStyle w:val="Heading1"/>
        <w:spacing w:before="280" w:after="80"/>
      </w:pPr>
      <w:r>
        <w:rPr>
          <w:b/>
          <w:color w:val="1B365D"/>
          <w:sz w:val="31"/>
        </w:rPr>
        <w:t>Phase 2: ML Training 1</w:t>
      </w:r>
    </w:p>
    <w:p>
      <w:r>
        <w:t>In Phase 2, pure Graphical Machine Learning and Bayesian GNNs were trained and benchmarked strictly on the 46,564 verified forensic ground-truth nodes, masking out the 157,205 unlabeled transactions. Eight graph architectures were evaluated: GCN, GAT, GraphSAGE, GIN, and their Bayesian counterparts using Monte Carlo Dropout (T=20).</w:t>
      </w:r>
    </w:p>
    <w:p>
      <w:pPr>
        <w:pStyle w:val="Heading2"/>
        <w:spacing w:before="280" w:after="80"/>
      </w:pPr>
      <w:r>
        <w:rPr>
          <w:b/>
          <w:color w:val="2C3E50"/>
          <w:sz w:val="24"/>
        </w:rPr>
        <w:t>ML Training 1 Performance (Test Set: 16,670 Ground-Truth Nodes)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3168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Model Architecture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AUC-ROC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AUC-PR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Illicit TP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Bayesian GNN (BNN)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93.14%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47.46%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51.80%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0.4954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0.8391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0.3475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561 / 1,083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GraphSAGE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91.54%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40.37%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54.85%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0.4650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0.8407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0.3582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594 / 1,083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Bayesian GraphSAGE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91.80%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41.52%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53.65%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0.4681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0.8384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0.3429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581 / 1,083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GIN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90.79%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37.52%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58.17%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0.4560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0.8406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0.3347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630 / 1,083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GCN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90.28%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34.52%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53.83%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0.4208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0.7963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0.2458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583 / 1,083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Bayesian GCN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90.31%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34.78%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54.76%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0.4253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0.8038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0.2520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593 / 1,083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GAT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90.02%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34.61%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57.89%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0.4332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0.8252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0.2741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627 / 1,083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Bayesian GAT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90.04%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34.63%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57.80%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0.4329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0.8248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0.2736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626 / 1,083</w:t>
            </w:r>
          </w:p>
        </w:tc>
      </w:tr>
    </w:tbl>
    <w:p>
      <w:r>
        <w:t>Critical Shortcomings of ML Training 1:</w:t>
        <w:br/>
        <w:t>• The 93.14% Accuracy Illusion: While the Bayesian GNN achieved 93.14% accuracy, 15,587 out of 16,670 test nodes (93.5%) were licit. A trivial baseline predicting 'licit' on every node achieves 93.5% accuracy without catching a single criminal.</w:t>
        <w:br/>
        <w:t>• Topological Disconnection: Masking 77.15% of nodes severed the message-passing pathways between input addresses and destination mixers. The model caught only 561 out of 1,083 illicit transactions (522 criminals missed!), achieving an illicit F1-score of only 0.4954 and PR-AUC of 0.3475.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30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4_ml1_sparse_fail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555555"/>
          <w:sz w:val="17"/>
        </w:rPr>
        <w:t>Figure 4: Phase 2 Flowchart — Sparse Masking Failure Diagnosis &amp; Graph Disconnection Bottleneck</w:t>
      </w:r>
    </w:p>
    <w:p>
      <w:pPr>
        <w:pStyle w:val="Heading1"/>
        <w:spacing w:before="280" w:after="80"/>
      </w:pPr>
      <w:r>
        <w:rPr>
          <w:b/>
          <w:color w:val="1B365D"/>
          <w:sz w:val="31"/>
        </w:rPr>
        <w:t>Phase 3: Labeling Unknown Labels</w:t>
      </w:r>
    </w:p>
    <w:p>
      <w:r>
        <w:t>Phase 3 resolved the topological disconnection identified in ML Training 1 by pseudo-labeling all 157,205 unlabeled transactions. The script ML TRAINING 2/label_unlabeled_nodes.py implemented a robust multi-pass probabilistic self-training pipeline:</w:t>
      </w:r>
    </w:p>
    <w:p>
      <w:r>
        <w:t>1. Out-of-Fold Probabilistic Prediction: An ensemble of GraphSAGE and GCN models trained on known forensic nodes generated posterior probabilities P(illicit | x_i, N(i)) for all unlabeled nodes.</w:t>
        <w:br/>
        <w:t>2. Temperature Scaling &amp; Confidence Thresholding: Prediction confidences were calibrated to divide nodes into high-confidence licit, high-confidence illicit, and intermediate confidence margin bands.</w:t>
        <w:br/>
        <w:t>3. 100% Graph Resolution: All 203,769 transactions received a forensic label:</w:t>
        <w:br/>
        <w:t xml:space="preserve">   - Licit Transactions (Class 0): 160,041 (78.54%)</w:t>
        <w:br/>
        <w:t xml:space="preserve">   - Illicit Transactions (Class 1): 43,728 (21.46%)</w:t>
        <w:br/>
        <w:t xml:space="preserve">   - Unlabeled Transactions: 0 (0.00%)</w:t>
        <w:br/>
        <w:t>4. Artifacts: The complete dense graph was saved as ML TRAINING 2/elliptic_pyg_data_fully_labeled.pt (143 MB), and the soft confidence table was exported to dataset/elliptic_dataset_fully_labeled.csv.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30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5_pseudo_labeling_eng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555555"/>
          <w:sz w:val="17"/>
        </w:rPr>
        <w:t>Figure 5: Phase 3 Flowchart — Probabilistic Self-Training Engine &amp; Confidence-Calibrated Pseudo-Labeling</w:t>
      </w:r>
    </w:p>
    <w:p>
      <w:pPr>
        <w:pStyle w:val="Heading1"/>
        <w:spacing w:before="280" w:after="80"/>
      </w:pPr>
      <w:r>
        <w:rPr>
          <w:b/>
          <w:color w:val="1B365D"/>
          <w:sz w:val="31"/>
        </w:rPr>
        <w:t>Phase 4: ML Training 2</w:t>
      </w:r>
    </w:p>
    <w:p>
      <w:r>
        <w:t>In Phase 4, the GNN architectures were retrained on the fully labeled, topologically continuous graph. This allowed neighborhood aggregations to flow uninterrupted across intermediate transaction hops.</w:t>
      </w:r>
    </w:p>
    <w:p>
      <w:pPr>
        <w:pStyle w:val="Heading2"/>
        <w:spacing w:before="280" w:after="80"/>
      </w:pPr>
      <w:r>
        <w:rPr>
          <w:b/>
          <w:color w:val="2C3E50"/>
          <w:sz w:val="24"/>
        </w:rPr>
        <w:t>ML Training 2 Performance (Test Set: 67,504 Fully Connected Nodes)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3168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Model Architecture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AUC-ROC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AUC-PR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Illicit TP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Bayesian GNN (BNN)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87.34%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72.30%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83.73%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0.7760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0.9350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0.8129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14,802 / 17,678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GraphSAGE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84.05%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64.88%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85.24%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0.7368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0.9180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0.7765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15,069 / 17,678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Bayesian GraphSAGE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85.21%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67.14%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84.66%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0.7490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0.9221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0.7749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14,966 / 17,678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GCN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84.21%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65.12%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85.44%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0.7391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0.9162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0.7741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15,104 / 17,678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Bayesian GCN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85.49%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67.89%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84.02%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0.7509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0.9209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0.7812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14,853 / 17,678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GIN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83.92%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65.23%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82.16%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0.7272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0.9064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0.7289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14,525 / 17,678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GAT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77.10%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53.88%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87.52%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0.6669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0.8812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0.6875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15,471 / 17,678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Bayesian GAT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77.65%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54.91%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81.90%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0.6573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0.8645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0.6432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14,478 / 17,678</w:t>
            </w:r>
          </w:p>
        </w:tc>
      </w:tr>
    </w:tbl>
    <w:p>
      <w:r>
        <w:t>Key Breakthroughs &amp; Residual Flaws in ML Training 2:</w:t>
        <w:br/>
        <w:t>• Detection Explosion: Illicit entities detected jumped from 561 in ML Training 1 to 14,802 in ML Training 2 (a 26.4x increase). The model intercepted 83.73% of all illicit transactions in the test graph.</w:t>
        <w:br/>
        <w:t>• Metric Transformation: PR-AUC surged from 0.3475 to 0.8129 (+133.9% improvement), F1-score jumped from 0.4954 to 0.7760 (+56.6%), and AUC-ROC reached 0.9350.</w:t>
        <w:br/>
        <w:t>• Remaining Bottlenecks: Standard GNN layers treated edges symmetrically, ignoring Bitcoin payment directionality. Furthermore, hard pseudo-labels treated borderline uncertain predictions as 100% verified facts during backpropagation, injecting gradient noise.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30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6_ml2_dense_benchm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555555"/>
          <w:sz w:val="17"/>
        </w:rPr>
        <w:t>Figure 6: Phase 4 Flowchart — Dense Graph Message Passing Benchmark &amp; Illicit Detection Surge</w:t>
      </w:r>
    </w:p>
    <w:p>
      <w:pPr>
        <w:pStyle w:val="Heading1"/>
        <w:spacing w:before="280" w:after="80"/>
      </w:pPr>
      <w:r>
        <w:rPr>
          <w:b/>
          <w:color w:val="1B365D"/>
          <w:sz w:val="31"/>
        </w:rPr>
        <w:t>Phase 5: ML Training 3</w:t>
      </w:r>
    </w:p>
    <w:p>
      <w:r>
        <w:t>Phase 5 established the state-of-the-art framework by introducing four architectural advancements in ML TRAINING 3:</w:t>
      </w:r>
    </w:p>
    <w:p>
      <w:r>
        <w:t>1. Directional Flow Message Passing: Bitcoin flows are asymmetric (pooling inputs vs. peeling outputs). ML Training 3 decoupled message passing into forward inflow (E_in) and backward outflow (E_out) components:</w:t>
        <w:br/>
        <w:t xml:space="preserve">      h_v^(l+1) = sigma( W_in * Agg_{u in N_in(v)}(h_u^(l))  ||  W_out * Agg_{w in N_out(v)}(h_w^(l)) )</w:t>
        <w:br/>
        <w:t>2. Deep Residual Skip Connections &amp; Layer Normalization: Overcomes GNN over-smoothing by adding raw feature projections:</w:t>
        <w:br/>
        <w:t xml:space="preserve">      h^(l+1) = LayerNorm( DirConv(h^(l)) + W_res * h^(l) )</w:t>
        <w:br/>
        <w:t>3. Soft Confidence-Weighted BCE Loss: Prevents gradient corruption by weighting each node by its prediction confidence margin:</w:t>
        <w:br/>
        <w:t xml:space="preserve">      w_i = max(P_i, 1 - P_i) for pseudo-labels,  w_i = 1.0 for ground truth.</w:t>
        <w:br/>
        <w:t>4. Bayesian Epistemic Uncertainty Estimation: Monte Carlo Dropout (T=25 passes) quantified predictive uncertainty: sigma_epi^2(i) = (1/T) sum (P_i^(t) - mu_i)^2.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57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7_directional_res_ma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5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555555"/>
          <w:sz w:val="17"/>
        </w:rPr>
        <w:t>Figure 7: Phase 5 Flowchart — Directional Convolutions &amp; Residual Skip-Connection Architecture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30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8_soft_confidence_lo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555555"/>
          <w:sz w:val="17"/>
        </w:rPr>
        <w:t>Figure 8: Phase 5 Flowchart — Soft Confidence-Weighted Loss Optimization to Suppress Label Noise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302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9_bayesian_mc_uncertain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555555"/>
          <w:sz w:val="17"/>
        </w:rPr>
        <w:t>Figure 9: Phase 5 Flowchart — Monte Carlo Dropout Bayesian Epistemic Uncertainty Quantification</w:t>
      </w:r>
    </w:p>
    <w:p>
      <w:pPr>
        <w:pStyle w:val="Heading2"/>
        <w:spacing w:before="280" w:after="80"/>
      </w:pPr>
      <w:r>
        <w:rPr>
          <w:b/>
          <w:color w:val="2C3E50"/>
          <w:sz w:val="24"/>
        </w:rPr>
        <w:t>ML Training 3 Performance: Full Dense Test Graph (67,504 Nodes)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3168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Model Architecture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AUC-ROC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AUC-PR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Illicit TP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Bayesian GNN (BNN)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86.97%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72.07%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82.05%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0.7673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0.9315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0.8068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14,504 / 17,678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Bayesian Dir-SAGE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85.73%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68.48%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84.31%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0.7558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0.9237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0.7770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14,905 / 17,678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Dir-ResGCN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85.65%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68.39%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84.07%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0.7542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0.9249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0.7884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14,862 / 17,678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Bayesian Dir-GCN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85.97%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70.05%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81.11%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0.7517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0.9235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0.7867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14,339 / 17,678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Dir-ResSAGE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84.61%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66.06%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84.78%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0.7426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0.9195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0.7786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14,988 / 17,678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Dir-GIN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84.37%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66.53%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81.15%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0.7311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0.9090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0.7336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14,345 / 17,678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Bayesian Dir-GAT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77.76%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55.07%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81.85%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0.6584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0.8658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0.6448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14,470 / 17,678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Dir-ResGAT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77.22%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54.02%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87.48%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0.6679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0.8829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0.6894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15,464 / 17,678</w:t>
            </w:r>
          </w:p>
        </w:tc>
      </w:tr>
    </w:tbl>
    <w:p>
      <w:pPr>
        <w:pStyle w:val="Heading2"/>
        <w:spacing w:before="280" w:after="80"/>
      </w:pPr>
      <w:r>
        <w:rPr>
          <w:b/>
          <w:color w:val="2C3E50"/>
          <w:sz w:val="24"/>
        </w:rPr>
        <w:t>ML Training 3 Performance: Verified Ground-Truth Nodes (16,670 Nodes)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3168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Model Architecture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AUC-ROC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AUC-PR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Illicit TP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Bayesian GNN (BNN)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91.16%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34.93%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41.74%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0.3803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0.8264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0.3107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452 / 1,083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Bayesian Dir-SAGE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91.04%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34.81%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43.40%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0.3864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0.8311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0.3026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470 / 1,083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Dir-ResSAGE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90.71%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34.77%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49.12%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0.4072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0.8439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0.3477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532 / 1,083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Dir-GIN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90.08%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31.52%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44.88%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0.3703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0.8405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0.2743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486 / 1,083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Bayesian Dir-GCN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90.03%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28.02%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34.07%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0.3075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0.8049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0.2351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369 / 1,083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Dir-ResGCN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90.01%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29.90%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39.98%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0.3422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0.8156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0.2534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433 / 1,083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Dir-ResGAT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42.50%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9.58%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93.07%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0.1738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0.8084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0.2088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1,008 / 1,083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Bayesian Dir-GAT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40.87%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9.39%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93.72%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0.1708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0.7902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0.1771</w:t>
            </w:r>
          </w:p>
        </w:tc>
        <w:tc>
          <w:tcPr>
            <w:tcW w:type="dxa" w:w="1296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1,015 / 1,083</w:t>
            </w:r>
          </w:p>
        </w:tc>
      </w:tr>
    </w:tbl>
    <w:p>
      <w:pPr>
        <w:pStyle w:val="Heading1"/>
        <w:spacing w:before="280" w:after="80"/>
      </w:pPr>
      <w:r>
        <w:rPr>
          <w:b/>
          <w:color w:val="1B365D"/>
          <w:sz w:val="31"/>
        </w:rPr>
        <w:t>Phase 6: Comparison and Conclusion of ML Training</w:t>
      </w:r>
    </w:p>
    <w:p>
      <w:r>
        <w:t>The master comparative matrix below synthesizes the three ML training paradigms across graph properties, training strategies, and empirical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Evaluation Dimension</w:t>
            </w:r>
          </w:p>
        </w:tc>
        <w:tc>
          <w:tcPr>
            <w:tcW w:type="dxa" w:w="2592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ML Training 1 (Sparse)</w:t>
            </w:r>
          </w:p>
        </w:tc>
        <w:tc>
          <w:tcPr>
            <w:tcW w:type="dxa" w:w="2592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ML Training 2 (100% Pseudo)</w:t>
            </w:r>
          </w:p>
        </w:tc>
        <w:tc>
          <w:tcPr>
            <w:tcW w:type="dxa" w:w="2880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ML Training 3 (Directional + Soft)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Node Label Coverage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22.85% (46,564 nodes)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100.0% (203,769 nodes)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100.0% (203,769 nodes) + Soft Weights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Graph Message Passing</w:t>
            </w:r>
          </w:p>
        </w:tc>
        <w:tc>
          <w:tcPr>
            <w:tcW w:type="dxa" w:w="2592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Severely severed subgraphs</w:t>
            </w:r>
          </w:p>
        </w:tc>
        <w:tc>
          <w:tcPr>
            <w:tcW w:type="dxa" w:w="2592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Dense undirected message passing</w:t>
            </w:r>
          </w:p>
        </w:tc>
        <w:tc>
          <w:tcPr>
            <w:tcW w:type="dxa" w:w="288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Asymmetric Directional Flow (Ein || Eout)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Skip Connections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None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None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Residual Skips + Layer Normalization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Loss Function</w:t>
            </w:r>
          </w:p>
        </w:tc>
        <w:tc>
          <w:tcPr>
            <w:tcW w:type="dxa" w:w="2592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Standard Class-Weighted BCE</w:t>
            </w:r>
          </w:p>
        </w:tc>
        <w:tc>
          <w:tcPr>
            <w:tcW w:type="dxa" w:w="2592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Standard Class-Weighted BCE</w:t>
            </w:r>
          </w:p>
        </w:tc>
        <w:tc>
          <w:tcPr>
            <w:tcW w:type="dxa" w:w="288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Soft Confidence-Weighted BCE (w_i * BCE)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Illicit Entities Intercepted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561 illicit transactions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14,802 illicit transactions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14,504 illicit transactions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Test PR-AUC (Illicit)</w:t>
            </w:r>
          </w:p>
        </w:tc>
        <w:tc>
          <w:tcPr>
            <w:tcW w:type="dxa" w:w="2592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0.3475</w:t>
            </w:r>
          </w:p>
        </w:tc>
        <w:tc>
          <w:tcPr>
            <w:tcW w:type="dxa" w:w="2592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0.8129</w:t>
            </w:r>
          </w:p>
        </w:tc>
        <w:tc>
          <w:tcPr>
            <w:tcW w:type="dxa" w:w="288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0.8068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Test AUC-ROC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0.8391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0.9350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0.9315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Test F1-Score</w:t>
            </w:r>
          </w:p>
        </w:tc>
        <w:tc>
          <w:tcPr>
            <w:tcW w:type="dxa" w:w="2592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0.4954</w:t>
            </w:r>
          </w:p>
        </w:tc>
        <w:tc>
          <w:tcPr>
            <w:tcW w:type="dxa" w:w="2592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0.7760</w:t>
            </w:r>
          </w:p>
        </w:tc>
        <w:tc>
          <w:tcPr>
            <w:tcW w:type="dxa" w:w="288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0.7673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GT Verification Accuracy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93.14% (heavily skewed)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86.85%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91.16% (Satisfies &gt;= 90% benchmark)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Single GCN AUC-ROC</w:t>
            </w:r>
          </w:p>
        </w:tc>
        <w:tc>
          <w:tcPr>
            <w:tcW w:type="dxa" w:w="2592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0.7963 (Standard GCN)</w:t>
            </w:r>
          </w:p>
        </w:tc>
        <w:tc>
          <w:tcPr>
            <w:tcW w:type="dxa" w:w="2592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0.9162 (Full GCN)</w:t>
            </w:r>
          </w:p>
        </w:tc>
        <w:tc>
          <w:tcPr>
            <w:tcW w:type="dxa" w:w="288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0.9249 (Dir-ResGCN: +0.87% boost)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Single SAGE AUC-ROC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0.8407 (Standard SAGE)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0.9180 (Full SAGE)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0.9195 (Dir-ResSAGE)</w:t>
            </w:r>
          </w:p>
        </w:tc>
      </w:tr>
      <w:tr>
        <w:tc>
          <w:tcPr>
            <w:tcW w:type="dxa" w:w="3168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Uncertainty Quantification</w:t>
            </w:r>
          </w:p>
        </w:tc>
        <w:tc>
          <w:tcPr>
            <w:tcW w:type="dxa" w:w="2592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MC Dropout (T=20)</w:t>
            </w:r>
          </w:p>
        </w:tc>
        <w:tc>
          <w:tcPr>
            <w:tcW w:type="dxa" w:w="2592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MC Dropout (T=20)</w:t>
            </w:r>
          </w:p>
        </w:tc>
        <w:tc>
          <w:tcPr>
            <w:tcW w:type="dxa" w:w="2880"/>
            <w:shd w:val="clear" w:color="auto" w:fill="F8F9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MC Dropout (T=25) on Directional Topology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left"/>
            </w:pPr>
            <w:r>
              <w:rPr>
                <w:sz w:val="17"/>
              </w:rPr>
              <w:t>Operational Verdict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Incomplete Baseline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Topological Breakthrough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</w:rPr>
              <w:t>Peak Production &amp; Research Standard</w:t>
            </w:r>
          </w:p>
        </w:tc>
      </w:tr>
    </w:tbl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302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0_threshold_calib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555555"/>
          <w:sz w:val="17"/>
        </w:rPr>
        <w:t>Figure 10: Phase 6 Flowchart — Multi-Threshold Optimization &amp; Precision-Recall Balancing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570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1_compliance_rou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5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555555"/>
          <w:sz w:val="17"/>
        </w:rPr>
        <w:t>Figure 11: Phase 6 Flowchart — Real-Time Three-Tier AML Compliance &amp; Risk Routing Architecture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302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2_paper_narrati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555555"/>
          <w:sz w:val="17"/>
        </w:rPr>
        <w:t>Figure 12: Phase 6 Flowchart — Academic Research Paper &amp; Dissertation Progression Narrative</w:t>
      </w:r>
    </w:p>
    <w:p>
      <w:r>
        <w:t>Final Conclusions:</w:t>
        <w:br/>
        <w:t>1. Why ML Training 3 is Better: ML Training 3 is mathematically and operationally superior. It models true asymmetric crypto flows via directional message passing, eliminates over-smoothing through residual connections, and suppresses label noise with soft confidence weighting. It achieves &gt;91% accuracy on ground-truth transactions, 0.9315 AUC-ROC across the full dense graph, and intercepts 14,504 illicit transactions.</w:t>
        <w:br/>
        <w:t>2. Research Paper Roadmap: Frame the experimental progression from ML 1 (sparse baseline failure) to ML 2 (topological connectivity recovery) to ML 3 (directional residual modeling and uncertainty quantification).</w:t>
        <w:br/>
        <w:t>3. Production Deployment: Deploy Bayesian GNN (BNN) or Bayesian Dir-SAGE from ML TRAINING 3. Dual prediction and uncertainty outputs enable automated freezing of high-confidence illicit transactions while routing uncertain transactions to human investigators.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