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F172A"/>
          <w:sz w:val="48"/>
        </w:rPr>
        <w:t>EcoFinOps AI: Comprehensive Technical Project Report</w:t>
      </w:r>
    </w:p>
    <w:p>
      <w:pPr>
        <w:spacing w:after="280"/>
      </w:pPr>
      <w:r>
        <w:rPr>
          <w:i/>
          <w:color w:val="0E7490"/>
          <w:sz w:val="26"/>
        </w:rPr>
        <w:t>An Agentic Multi-Agent Framework for Cloud FinOps, Scope 2 Carbon Intelligence, and Predictive Serverless Pre-Warming</w:t>
      </w:r>
    </w:p>
    <w:tbl>
      <w:tblPr>
        <w:tblW w:type="auto" w:w="0"/>
        <w:jc w:val="center"/>
        <w:tblLayout w:type="fixed"/>
        <w:tblLook w:firstColumn="1" w:firstRow="1" w:lastColumn="0" w:lastRow="0" w:noHBand="0" w:noVBand="1" w:val="04A0"/>
      </w:tblPr>
      <w:tblGrid>
        <w:gridCol w:w="4680"/>
        <w:gridCol w:w="4680"/>
      </w:tblGrid>
      <w:tr>
        <w:tc>
          <w:tcPr>
            <w:tcW w:type="dxa" w:w="3456"/>
            <w:shd w:fill="F8FAFC"/>
            <w:tcMar>
              <w:top w:w="60" w:type="dxa"/>
              <w:bottom w:w="60" w:type="dxa"/>
              <w:left w:w="100" w:type="dxa"/>
              <w:right w:w="100" w:type="dxa"/>
            </w:tcMar>
          </w:tcPr>
          <w:p>
            <w:pPr>
              <w:spacing w:after="40"/>
            </w:pPr>
            <w:r>
              <w:rPr>
                <w:b/>
                <w:color w:val="475569"/>
                <w:sz w:val="19"/>
              </w:rPr>
              <w:t>Authors / Research Attribution:</w:t>
            </w:r>
          </w:p>
        </w:tc>
        <w:tc>
          <w:tcPr>
            <w:tcW w:type="dxa" w:w="5904"/>
            <w:shd w:fill="F1F5F9"/>
            <w:tcMar>
              <w:top w:w="60" w:type="dxa"/>
              <w:bottom w:w="60" w:type="dxa"/>
              <w:left w:w="100" w:type="dxa"/>
              <w:right w:w="100" w:type="dxa"/>
            </w:tcMar>
          </w:tcPr>
          <w:p>
            <w:pPr>
              <w:spacing w:after="40"/>
            </w:pPr>
            <w:r>
              <w:rPr>
                <w:color w:val="0F172A"/>
                <w:sz w:val="19"/>
              </w:rPr>
              <w:t>Kavitha P, Jithu S, Devika A P</w:t>
            </w:r>
          </w:p>
        </w:tc>
      </w:tr>
      <w:tr>
        <w:tc>
          <w:tcPr>
            <w:tcW w:type="dxa" w:w="3456"/>
            <w:shd w:fill="F8FAFC"/>
            <w:tcMar>
              <w:top w:w="60" w:type="dxa"/>
              <w:bottom w:w="60" w:type="dxa"/>
              <w:left w:w="100" w:type="dxa"/>
              <w:right w:w="100" w:type="dxa"/>
            </w:tcMar>
          </w:tcPr>
          <w:p>
            <w:pPr>
              <w:spacing w:after="40"/>
            </w:pPr>
            <w:r>
              <w:rPr>
                <w:b/>
                <w:color w:val="475569"/>
                <w:sz w:val="19"/>
              </w:rPr>
              <w:t>Platform Version &amp; Release:</w:t>
            </w:r>
          </w:p>
        </w:tc>
        <w:tc>
          <w:tcPr>
            <w:tcW w:type="dxa" w:w="5904"/>
            <w:shd w:fill="F1F5F9"/>
            <w:tcMar>
              <w:top w:w="60" w:type="dxa"/>
              <w:bottom w:w="60" w:type="dxa"/>
              <w:left w:w="100" w:type="dxa"/>
              <w:right w:w="100" w:type="dxa"/>
            </w:tcMar>
          </w:tcPr>
          <w:p>
            <w:pPr>
              <w:spacing w:after="40"/>
            </w:pPr>
            <w:r>
              <w:rPr>
                <w:color w:val="0F172A"/>
                <w:sz w:val="19"/>
              </w:rPr>
              <w:t>v1.0.0 Enterprise Production Release (Dual Runtime)</w:t>
            </w:r>
          </w:p>
        </w:tc>
      </w:tr>
      <w:tr>
        <w:tc>
          <w:tcPr>
            <w:tcW w:type="dxa" w:w="3456"/>
            <w:shd w:fill="F8FAFC"/>
            <w:tcMar>
              <w:top w:w="60" w:type="dxa"/>
              <w:bottom w:w="60" w:type="dxa"/>
              <w:left w:w="100" w:type="dxa"/>
              <w:right w:w="100" w:type="dxa"/>
            </w:tcMar>
          </w:tcPr>
          <w:p>
            <w:pPr>
              <w:spacing w:after="40"/>
            </w:pPr>
            <w:r>
              <w:rPr>
                <w:b/>
                <w:color w:val="475569"/>
                <w:sz w:val="19"/>
              </w:rPr>
              <w:t>Core Technology Stack:</w:t>
            </w:r>
          </w:p>
        </w:tc>
        <w:tc>
          <w:tcPr>
            <w:tcW w:type="dxa" w:w="5904"/>
            <w:shd w:fill="F1F5F9"/>
            <w:tcMar>
              <w:top w:w="60" w:type="dxa"/>
              <w:bottom w:w="60" w:type="dxa"/>
              <w:left w:w="100" w:type="dxa"/>
              <w:right w:w="100" w:type="dxa"/>
            </w:tcMar>
          </w:tcPr>
          <w:p>
            <w:pPr>
              <w:spacing w:after="40"/>
            </w:pPr>
            <w:r>
              <w:rPr>
                <w:color w:val="0F172A"/>
                <w:sz w:val="19"/>
              </w:rPr>
              <w:t>NitroStack MCP Framework + Python Scientific ML + Next.js Widgets</w:t>
            </w:r>
          </w:p>
        </w:tc>
      </w:tr>
      <w:tr>
        <w:tc>
          <w:tcPr>
            <w:tcW w:type="dxa" w:w="3456"/>
            <w:shd w:fill="F8FAFC"/>
            <w:tcMar>
              <w:top w:w="60" w:type="dxa"/>
              <w:bottom w:w="60" w:type="dxa"/>
              <w:left w:w="100" w:type="dxa"/>
              <w:right w:w="100" w:type="dxa"/>
            </w:tcMar>
          </w:tcPr>
          <w:p>
            <w:pPr>
              <w:spacing w:after="40"/>
            </w:pPr>
            <w:r>
              <w:rPr>
                <w:b/>
                <w:color w:val="475569"/>
                <w:sz w:val="19"/>
              </w:rPr>
              <w:t>Publication Benchmark Calibration:</w:t>
            </w:r>
          </w:p>
        </w:tc>
        <w:tc>
          <w:tcPr>
            <w:tcW w:type="dxa" w:w="5904"/>
            <w:shd w:fill="F1F5F9"/>
            <w:tcMar>
              <w:top w:w="60" w:type="dxa"/>
              <w:bottom w:w="60" w:type="dxa"/>
              <w:left w:w="100" w:type="dxa"/>
              <w:right w:w="100" w:type="dxa"/>
            </w:tcMar>
          </w:tcPr>
          <w:p>
            <w:pPr>
              <w:spacing w:after="40"/>
            </w:pPr>
            <w:r>
              <w:rPr>
                <w:color w:val="0F172A"/>
                <w:sz w:val="19"/>
              </w:rPr>
              <w:t>IEEE Conference 2026 Research Calibration &amp; Azure Functions 2019 Trace</w:t>
            </w:r>
          </w:p>
        </w:tc>
      </w:tr>
    </w:tbl>
    <w:p>
      <w:pPr>
        <w:spacing w:after="240"/>
      </w:pPr>
    </w:p>
    <w:p>
      <w:pPr>
        <w:keepNext/>
        <w:spacing w:before="360" w:after="120"/>
      </w:pPr>
      <w:r>
        <w:rPr>
          <w:rFonts w:ascii="Calibri" w:hAnsi="Calibri"/>
          <w:b/>
          <w:color w:val="0F172A"/>
          <w:sz w:val="32"/>
        </w:rPr>
        <w:t>1. Executive Summary &amp; Problem Context</w:t>
      </w:r>
    </w:p>
    <w:p>
      <w:r>
        <w:t>Modern cloud computing architectures are increasingly complex, characterized by heterogeneous multi-cloud deployments (AWS, GCP, Azure), high-frequency serverless invocations, and dynamic containerized workloads. Consequently, organizations face three compounding operational challenges: uncontrollable financial waste, mounting environmental impacts (Scope 2 GHG emissions), and catastrophic latency degradation in serverless environments caused by cold starts.</w:t>
      </w:r>
    </w:p>
    <w:p>
      <w:r>
        <w:t>EcoFinOps AI addresses these three pillars through a unified agentic platform. Rather than relying on static dashboards or heuristic scripts, EcoFinOps AI deploys a coordinated swarm of 12 specialized autonomous agents governed by the Model Context Protocol (MCP). The platform achieves autonomous cloud spend intelligence, software-modeled carbon optimization, and predictive serverless pre-warming that empirically eliminates 100% of cold starts.</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Pr>
          <w:p>
            <w:pPr>
              <w:spacing w:after="40"/>
            </w:pPr>
            <w:r>
              <w:rPr>
                <w:b/>
                <w:color w:val="047857"/>
                <w:sz w:val="20"/>
              </w:rPr>
              <w:t>🛡️  GOVERNANCE &amp; TRUST CORE</w:t>
              <w:br/>
            </w:r>
            <w:r>
              <w:rPr>
                <w:color w:val="0F172A"/>
                <w:sz w:val="20"/>
              </w:rPr>
              <w:t>EcoFinOps AI is built under a strict Zero-Mutation Read-Only Security Standard (Agent 11). All calculations undergo deterministic mathematical verification (Agent 09), ensuring zero cloud mutations occur without explicit authorization and prohibiting false or exaggerated savings claims.</w:t>
            </w:r>
          </w:p>
        </w:tc>
      </w:tr>
    </w:tbl>
    <w:p>
      <w:pPr>
        <w:spacing w:after="80"/>
      </w:pPr>
    </w:p>
    <w:p>
      <w:pPr>
        <w:keepNext/>
        <w:spacing w:before="360" w:after="120"/>
      </w:pPr>
      <w:r>
        <w:rPr>
          <w:rFonts w:ascii="Calibri" w:hAnsi="Calibri"/>
          <w:b/>
          <w:color w:val="0F172A"/>
          <w:sz w:val="32"/>
        </w:rPr>
        <w:t>2. System Architecture &amp; Dual-Engine Hybrid Runtime</w:t>
      </w:r>
    </w:p>
    <w:p>
      <w:r>
        <w:t>The architecture is designed for production resiliency, combining asynchronous microservices with an analytical scientific pipeline:</w:t>
      </w:r>
    </w:p>
    <w:p>
      <w:pPr>
        <w:spacing w:after="60"/>
        <w:ind w:left="360"/>
      </w:pPr>
      <w:r>
        <w:rPr>
          <w:color w:val="10B981"/>
        </w:rPr>
        <w:t xml:space="preserve">▪  </w:t>
      </w:r>
      <w:r>
        <w:rPr>
          <w:b/>
          <w:color w:val="0F172A"/>
        </w:rPr>
        <w:t xml:space="preserve">TypeScript / NitroStack MCP Core: </w:t>
      </w:r>
      <w:r>
        <w:t>Orchestrates MCP session lifecycles, schema enforcement via Zod, tool dispatching, dual transport serving (HTTP, SSE, STDIO), and real-time WebSocket/HTTP streaming feeds.</w:t>
      </w:r>
    </w:p>
    <w:p>
      <w:pPr>
        <w:spacing w:after="60"/>
        <w:ind w:left="360"/>
      </w:pPr>
      <w:r>
        <w:rPr>
          <w:color w:val="10B981"/>
        </w:rPr>
        <w:t xml:space="preserve">▪  </w:t>
      </w:r>
      <w:r>
        <w:rPr>
          <w:b/>
          <w:color w:val="0F172A"/>
        </w:rPr>
        <w:t xml:space="preserve">Python Scientific ML Engine: </w:t>
      </w:r>
      <w:r>
        <w:t>Executes high-dimensional statistical algorithms, including Isolation Forest anomaly detection, rolling-origin time-series regressors, and multi-horizon XGBoost pre-warming models.</w:t>
      </w:r>
    </w:p>
    <w:p>
      <w:pPr>
        <w:spacing w:after="60"/>
        <w:ind w:left="360"/>
      </w:pPr>
      <w:r>
        <w:rPr>
          <w:color w:val="10B981"/>
        </w:rPr>
        <w:t xml:space="preserve">▪  </w:t>
      </w:r>
      <w:r>
        <w:rPr>
          <w:b/>
          <w:color w:val="0F172A"/>
        </w:rPr>
        <w:t xml:space="preserve">Dynamic Obsidian Black Interface: </w:t>
      </w:r>
      <w:r>
        <w:t>Delivers an ultra-premium glassmorphic console (:root #000000 base, backdrop blur 20px) featuring a full-screen HTML5 white glass fluid simulation canvas reacting to mouse inertia, velocity droplets, and specular reflections at 60 FPS.</w:t>
      </w:r>
    </w:p>
    <w:p>
      <w:pPr>
        <w:spacing w:after="60"/>
        <w:ind w:left="360"/>
      </w:pPr>
      <w:r>
        <w:rPr>
          <w:color w:val="10B981"/>
        </w:rPr>
        <w:t xml:space="preserve">▪  </w:t>
      </w:r>
      <w:r>
        <w:rPr>
          <w:b/>
          <w:color w:val="0F172A"/>
        </w:rPr>
        <w:t xml:space="preserve">Interactive Next.js Visual Widgets: </w:t>
      </w:r>
      <w:r>
        <w:t>Three embedded visual consoles mounted at /dashboard (Executive Console), /resource-utilization (Safeguards Inspector), and /schedule-comparison (Trade-off Matrix).</w:t>
      </w:r>
    </w:p>
    <w:p>
      <w:pPr>
        <w:keepNext/>
        <w:spacing w:before="360" w:after="120"/>
      </w:pPr>
      <w:r>
        <w:rPr>
          <w:rFonts w:ascii="Calibri" w:hAnsi="Calibri"/>
          <w:b/>
          <w:color w:val="0F172A"/>
          <w:sz w:val="32"/>
        </w:rPr>
        <w:t>3. The 12 Autonomous Specialist Agents</w:t>
      </w:r>
    </w:p>
    <w:p>
      <w:r>
        <w:t>The core intelligence is distributed across 12 specialist agents coordinated by a central supervisor DAG:</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172A"/>
            <w:tcMar>
              <w:top w:w="80" w:type="dxa"/>
              <w:bottom w:w="80" w:type="dxa"/>
              <w:left w:w="100" w:type="dxa"/>
              <w:right w:w="100" w:type="dxa"/>
            </w:tcMar>
          </w:tcPr>
          <w:p>
            <w:r>
              <w:rPr>
                <w:b/>
                <w:color w:val="FFFFFF"/>
                <w:sz w:val="19"/>
              </w:rPr>
              <w:t>Agent Identifier</w:t>
            </w:r>
          </w:p>
        </w:tc>
        <w:tc>
          <w:tcPr>
            <w:tcW w:type="dxa" w:w="2448"/>
            <w:shd w:fill="0F172A"/>
            <w:tcMar>
              <w:top w:w="80" w:type="dxa"/>
              <w:bottom w:w="80" w:type="dxa"/>
              <w:left w:w="100" w:type="dxa"/>
              <w:right w:w="100" w:type="dxa"/>
            </w:tcMar>
          </w:tcPr>
          <w:p>
            <w:r>
              <w:rPr>
                <w:b/>
                <w:color w:val="FFFFFF"/>
                <w:sz w:val="19"/>
              </w:rPr>
              <w:t>Operational Domain</w:t>
            </w:r>
          </w:p>
        </w:tc>
        <w:tc>
          <w:tcPr>
            <w:tcW w:type="dxa" w:w="4320"/>
            <w:shd w:fill="0F172A"/>
            <w:tcMar>
              <w:top w:w="80" w:type="dxa"/>
              <w:bottom w:w="80" w:type="dxa"/>
              <w:left w:w="100" w:type="dxa"/>
              <w:right w:w="100" w:type="dxa"/>
            </w:tcMar>
          </w:tcPr>
          <w:p>
            <w:r>
              <w:rPr>
                <w:b/>
                <w:color w:val="FFFFFF"/>
                <w:sz w:val="19"/>
              </w:rPr>
              <w:t>Key Responsibilities &amp; Algorithm</w:t>
            </w:r>
          </w:p>
        </w:tc>
      </w:tr>
      <w:tr>
        <w:tc>
          <w:tcPr>
            <w:tcW w:type="dxa" w:w="2592"/>
            <w:shd w:fill="F8FAFC"/>
            <w:tcMar>
              <w:top w:w="60" w:type="dxa"/>
              <w:bottom w:w="60" w:type="dxa"/>
              <w:left w:w="80" w:type="dxa"/>
              <w:right w:w="80" w:type="dxa"/>
            </w:tcMar>
          </w:tcPr>
          <w:p>
            <w:pPr>
              <w:spacing w:after="40"/>
            </w:pPr>
            <w:r>
              <w:rPr>
                <w:b/>
                <w:color w:val="0F172A"/>
                <w:sz w:val="18"/>
              </w:rPr>
              <w:t>Agent 01: FinOps Analyst</w:t>
            </w:r>
          </w:p>
        </w:tc>
        <w:tc>
          <w:tcPr>
            <w:tcW w:type="dxa" w:w="2448"/>
            <w:shd w:fill="F8FAFC"/>
            <w:tcMar>
              <w:top w:w="60" w:type="dxa"/>
              <w:bottom w:w="60" w:type="dxa"/>
              <w:left w:w="80" w:type="dxa"/>
              <w:right w:w="80" w:type="dxa"/>
            </w:tcMar>
          </w:tcPr>
          <w:p>
            <w:pPr>
              <w:spacing w:after="40"/>
            </w:pPr>
            <w:r>
              <w:rPr>
                <w:color w:val="047857"/>
                <w:sz w:val="18"/>
              </w:rPr>
              <w:t>Spend Breakdown &amp; Driver Ranking</w:t>
            </w:r>
          </w:p>
        </w:tc>
        <w:tc>
          <w:tcPr>
            <w:tcW w:type="dxa" w:w="4320"/>
            <w:shd w:fill="F8FAFC"/>
            <w:tcMar>
              <w:top w:w="60" w:type="dxa"/>
              <w:bottom w:w="60" w:type="dxa"/>
              <w:left w:w="80" w:type="dxa"/>
              <w:right w:w="80" w:type="dxa"/>
            </w:tcMar>
          </w:tcPr>
          <w:p>
            <w:pPr>
              <w:spacing w:after="40"/>
            </w:pPr>
            <w:r>
              <w:rPr>
                <w:color w:val="475569"/>
                <w:sz w:val="18"/>
              </w:rPr>
              <w:t>Decomposes multi-cloud costs by service, account, region; tracks budget burn pacing; ranks savings opportunities.</w:t>
            </w:r>
          </w:p>
        </w:tc>
      </w:tr>
      <w:tr>
        <w:tc>
          <w:tcPr>
            <w:tcW w:type="dxa" w:w="2592"/>
            <w:shd w:fill="FFFFFF"/>
            <w:tcMar>
              <w:top w:w="60" w:type="dxa"/>
              <w:bottom w:w="60" w:type="dxa"/>
              <w:left w:w="80" w:type="dxa"/>
              <w:right w:w="80" w:type="dxa"/>
            </w:tcMar>
          </w:tcPr>
          <w:p>
            <w:pPr>
              <w:spacing w:after="40"/>
            </w:pPr>
            <w:r>
              <w:rPr>
                <w:b/>
                <w:color w:val="0F172A"/>
                <w:sz w:val="18"/>
              </w:rPr>
              <w:t>Agent 02: Cost Forecasting</w:t>
            </w:r>
          </w:p>
        </w:tc>
        <w:tc>
          <w:tcPr>
            <w:tcW w:type="dxa" w:w="2448"/>
            <w:shd w:fill="FFFFFF"/>
            <w:tcMar>
              <w:top w:w="60" w:type="dxa"/>
              <w:bottom w:w="60" w:type="dxa"/>
              <w:left w:w="80" w:type="dxa"/>
              <w:right w:w="80" w:type="dxa"/>
            </w:tcMar>
          </w:tcPr>
          <w:p>
            <w:pPr>
              <w:spacing w:after="40"/>
            </w:pPr>
            <w:r>
              <w:rPr>
                <w:color w:val="047857"/>
                <w:sz w:val="18"/>
              </w:rPr>
              <w:t>Statistical Time-Series Pacing</w:t>
            </w:r>
          </w:p>
        </w:tc>
        <w:tc>
          <w:tcPr>
            <w:tcW w:type="dxa" w:w="4320"/>
            <w:shd w:fill="FFFFFF"/>
            <w:tcMar>
              <w:top w:w="60" w:type="dxa"/>
              <w:bottom w:w="60" w:type="dxa"/>
              <w:left w:w="80" w:type="dxa"/>
              <w:right w:w="80" w:type="dxa"/>
            </w:tcMar>
          </w:tcPr>
          <w:p>
            <w:pPr>
              <w:spacing w:after="40"/>
            </w:pPr>
            <w:r>
              <w:rPr>
                <w:color w:val="475569"/>
                <w:sz w:val="18"/>
              </w:rPr>
              <w:t>Generates forward expenditure projections with 95% confidence intervals using Ridge Regression and Random Forest ensembles.</w:t>
            </w:r>
          </w:p>
        </w:tc>
      </w:tr>
      <w:tr>
        <w:tc>
          <w:tcPr>
            <w:tcW w:type="dxa" w:w="2592"/>
            <w:shd w:fill="F8FAFC"/>
            <w:tcMar>
              <w:top w:w="60" w:type="dxa"/>
              <w:bottom w:w="60" w:type="dxa"/>
              <w:left w:w="80" w:type="dxa"/>
              <w:right w:w="80" w:type="dxa"/>
            </w:tcMar>
          </w:tcPr>
          <w:p>
            <w:pPr>
              <w:spacing w:after="40"/>
            </w:pPr>
            <w:r>
              <w:rPr>
                <w:b/>
                <w:color w:val="0F172A"/>
                <w:sz w:val="18"/>
              </w:rPr>
              <w:t>Agent 03: Anomaly Detection</w:t>
            </w:r>
          </w:p>
        </w:tc>
        <w:tc>
          <w:tcPr>
            <w:tcW w:type="dxa" w:w="2448"/>
            <w:shd w:fill="F8FAFC"/>
            <w:tcMar>
              <w:top w:w="60" w:type="dxa"/>
              <w:bottom w:w="60" w:type="dxa"/>
              <w:left w:w="80" w:type="dxa"/>
              <w:right w:w="80" w:type="dxa"/>
            </w:tcMar>
          </w:tcPr>
          <w:p>
            <w:pPr>
              <w:spacing w:after="40"/>
            </w:pPr>
            <w:r>
              <w:rPr>
                <w:color w:val="047857"/>
                <w:sz w:val="18"/>
              </w:rPr>
              <w:t>Outlier &amp; Zombie Discovery</w:t>
            </w:r>
          </w:p>
        </w:tc>
        <w:tc>
          <w:tcPr>
            <w:tcW w:type="dxa" w:w="4320"/>
            <w:shd w:fill="F8FAFC"/>
            <w:tcMar>
              <w:top w:w="60" w:type="dxa"/>
              <w:bottom w:w="60" w:type="dxa"/>
              <w:left w:w="80" w:type="dxa"/>
              <w:right w:w="80" w:type="dxa"/>
            </w:tcMar>
          </w:tcPr>
          <w:p>
            <w:pPr>
              <w:spacing w:after="40"/>
            </w:pPr>
            <w:r>
              <w:rPr>
                <w:color w:val="475569"/>
                <w:sz w:val="18"/>
              </w:rPr>
              <w:t>Identifies multivariate spend spikes and zombie idle compute nodes using Isolation Forest (contamination=0.05).</w:t>
            </w:r>
          </w:p>
        </w:tc>
      </w:tr>
      <w:tr>
        <w:tc>
          <w:tcPr>
            <w:tcW w:type="dxa" w:w="2592"/>
            <w:shd w:fill="FFFFFF"/>
            <w:tcMar>
              <w:top w:w="60" w:type="dxa"/>
              <w:bottom w:w="60" w:type="dxa"/>
              <w:left w:w="80" w:type="dxa"/>
              <w:right w:w="80" w:type="dxa"/>
            </w:tcMar>
          </w:tcPr>
          <w:p>
            <w:pPr>
              <w:spacing w:after="40"/>
            </w:pPr>
            <w:r>
              <w:rPr>
                <w:b/>
                <w:color w:val="0F172A"/>
                <w:sz w:val="18"/>
              </w:rPr>
              <w:t>Agent 04: Carbon Intelligence</w:t>
            </w:r>
          </w:p>
        </w:tc>
        <w:tc>
          <w:tcPr>
            <w:tcW w:type="dxa" w:w="2448"/>
            <w:shd w:fill="FFFFFF"/>
            <w:tcMar>
              <w:top w:w="60" w:type="dxa"/>
              <w:bottom w:w="60" w:type="dxa"/>
              <w:left w:w="80" w:type="dxa"/>
              <w:right w:w="80" w:type="dxa"/>
            </w:tcMar>
          </w:tcPr>
          <w:p>
            <w:pPr>
              <w:spacing w:after="40"/>
            </w:pPr>
            <w:r>
              <w:rPr>
                <w:color w:val="047857"/>
                <w:sz w:val="18"/>
              </w:rPr>
              <w:t>Scope 2 GHG Emissions Modeling</w:t>
            </w:r>
          </w:p>
        </w:tc>
        <w:tc>
          <w:tcPr>
            <w:tcW w:type="dxa" w:w="4320"/>
            <w:shd w:fill="FFFFFF"/>
            <w:tcMar>
              <w:top w:w="60" w:type="dxa"/>
              <w:bottom w:w="60" w:type="dxa"/>
              <w:left w:w="80" w:type="dxa"/>
              <w:right w:w="80" w:type="dxa"/>
            </w:tcMar>
          </w:tcPr>
          <w:p>
            <w:pPr>
              <w:spacing w:after="40"/>
            </w:pPr>
            <w:r>
              <w:rPr>
                <w:color w:val="475569"/>
                <w:sz w:val="18"/>
              </w:rPr>
              <w:t>Estimates kilowatt-hours and kg CO2e based on vCPU thermal design power, regional PUE standards, and grid factors.</w:t>
            </w:r>
          </w:p>
        </w:tc>
      </w:tr>
      <w:tr>
        <w:tc>
          <w:tcPr>
            <w:tcW w:type="dxa" w:w="2592"/>
            <w:shd w:fill="F8FAFC"/>
            <w:tcMar>
              <w:top w:w="60" w:type="dxa"/>
              <w:bottom w:w="60" w:type="dxa"/>
              <w:left w:w="80" w:type="dxa"/>
              <w:right w:w="80" w:type="dxa"/>
            </w:tcMar>
          </w:tcPr>
          <w:p>
            <w:pPr>
              <w:spacing w:after="40"/>
            </w:pPr>
            <w:r>
              <w:rPr>
                <w:b/>
                <w:color w:val="0F172A"/>
                <w:sz w:val="18"/>
              </w:rPr>
              <w:t>Agent 05: Workload Scheduling</w:t>
            </w:r>
          </w:p>
        </w:tc>
        <w:tc>
          <w:tcPr>
            <w:tcW w:type="dxa" w:w="2448"/>
            <w:shd w:fill="F8FAFC"/>
            <w:tcMar>
              <w:top w:w="60" w:type="dxa"/>
              <w:bottom w:w="60" w:type="dxa"/>
              <w:left w:w="80" w:type="dxa"/>
              <w:right w:w="80" w:type="dxa"/>
            </w:tcMar>
          </w:tcPr>
          <w:p>
            <w:pPr>
              <w:spacing w:after="40"/>
            </w:pPr>
            <w:r>
              <w:rPr>
                <w:color w:val="047857"/>
                <w:sz w:val="18"/>
              </w:rPr>
              <w:t>Carbon-Aware Batch Shifting</w:t>
            </w:r>
          </w:p>
        </w:tc>
        <w:tc>
          <w:tcPr>
            <w:tcW w:type="dxa" w:w="4320"/>
            <w:shd w:fill="F8FAFC"/>
            <w:tcMar>
              <w:top w:w="60" w:type="dxa"/>
              <w:bottom w:w="60" w:type="dxa"/>
              <w:left w:w="80" w:type="dxa"/>
              <w:right w:w="80" w:type="dxa"/>
            </w:tcMar>
          </w:tcPr>
          <w:p>
            <w:pPr>
              <w:spacing w:after="40"/>
            </w:pPr>
            <w:r>
              <w:rPr>
                <w:color w:val="475569"/>
                <w:sz w:val="18"/>
              </w:rPr>
              <w:t>Aligns non-preemptive batch workloads with regional grid clean energy peaks while meeting hard arrival deadlines.</w:t>
            </w:r>
          </w:p>
        </w:tc>
      </w:tr>
      <w:tr>
        <w:tc>
          <w:tcPr>
            <w:tcW w:type="dxa" w:w="2592"/>
            <w:shd w:fill="FFFFFF"/>
            <w:tcMar>
              <w:top w:w="60" w:type="dxa"/>
              <w:bottom w:w="60" w:type="dxa"/>
              <w:left w:w="80" w:type="dxa"/>
              <w:right w:w="80" w:type="dxa"/>
            </w:tcMar>
          </w:tcPr>
          <w:p>
            <w:pPr>
              <w:spacing w:after="40"/>
            </w:pPr>
            <w:r>
              <w:rPr>
                <w:b/>
                <w:color w:val="0F172A"/>
                <w:sz w:val="18"/>
              </w:rPr>
              <w:t>Agent 06: Resource Optimizer</w:t>
            </w:r>
          </w:p>
        </w:tc>
        <w:tc>
          <w:tcPr>
            <w:tcW w:type="dxa" w:w="2448"/>
            <w:shd w:fill="FFFFFF"/>
            <w:tcMar>
              <w:top w:w="60" w:type="dxa"/>
              <w:bottom w:w="60" w:type="dxa"/>
              <w:left w:w="80" w:type="dxa"/>
              <w:right w:w="80" w:type="dxa"/>
            </w:tcMar>
          </w:tcPr>
          <w:p>
            <w:pPr>
              <w:spacing w:after="40"/>
            </w:pPr>
            <w:r>
              <w:rPr>
                <w:color w:val="047857"/>
                <w:sz w:val="18"/>
              </w:rPr>
              <w:t>Rightsizing &amp; Safety Margin</w:t>
            </w:r>
          </w:p>
        </w:tc>
        <w:tc>
          <w:tcPr>
            <w:tcW w:type="dxa" w:w="4320"/>
            <w:shd w:fill="FFFFFF"/>
            <w:tcMar>
              <w:top w:w="60" w:type="dxa"/>
              <w:bottom w:w="60" w:type="dxa"/>
              <w:left w:w="80" w:type="dxa"/>
              <w:right w:w="80" w:type="dxa"/>
            </w:tcMar>
          </w:tcPr>
          <w:p>
            <w:pPr>
              <w:spacing w:after="40"/>
            </w:pPr>
            <w:r>
              <w:rPr>
                <w:color w:val="475569"/>
                <w:sz w:val="18"/>
              </w:rPr>
              <w:t>Recommends compute rightsizing; strictly enforces mandatory p95 peak CPU &lt;= 65% headroom safeguards.</w:t>
            </w:r>
          </w:p>
        </w:tc>
      </w:tr>
      <w:tr>
        <w:tc>
          <w:tcPr>
            <w:tcW w:type="dxa" w:w="2592"/>
            <w:shd w:fill="F8FAFC"/>
            <w:tcMar>
              <w:top w:w="60" w:type="dxa"/>
              <w:bottom w:w="60" w:type="dxa"/>
              <w:left w:w="80" w:type="dxa"/>
              <w:right w:w="80" w:type="dxa"/>
            </w:tcMar>
          </w:tcPr>
          <w:p>
            <w:pPr>
              <w:spacing w:after="40"/>
            </w:pPr>
            <w:r>
              <w:rPr>
                <w:b/>
                <w:color w:val="0F172A"/>
                <w:sz w:val="18"/>
              </w:rPr>
              <w:t>Agent 07: Region Intelligence</w:t>
            </w:r>
          </w:p>
        </w:tc>
        <w:tc>
          <w:tcPr>
            <w:tcW w:type="dxa" w:w="2448"/>
            <w:shd w:fill="F8FAFC"/>
            <w:tcMar>
              <w:top w:w="60" w:type="dxa"/>
              <w:bottom w:w="60" w:type="dxa"/>
              <w:left w:w="80" w:type="dxa"/>
              <w:right w:w="80" w:type="dxa"/>
            </w:tcMar>
          </w:tcPr>
          <w:p>
            <w:pPr>
              <w:spacing w:after="40"/>
            </w:pPr>
            <w:r>
              <w:rPr>
                <w:color w:val="047857"/>
                <w:sz w:val="18"/>
              </w:rPr>
              <w:t>Geo-Arbitrage &amp; Carbon Tiers</w:t>
            </w:r>
          </w:p>
        </w:tc>
        <w:tc>
          <w:tcPr>
            <w:tcW w:type="dxa" w:w="4320"/>
            <w:shd w:fill="F8FAFC"/>
            <w:tcMar>
              <w:top w:w="60" w:type="dxa"/>
              <w:bottom w:w="60" w:type="dxa"/>
              <w:left w:w="80" w:type="dxa"/>
              <w:right w:w="80" w:type="dxa"/>
            </w:tcMar>
          </w:tcPr>
          <w:p>
            <w:pPr>
              <w:spacing w:after="40"/>
            </w:pPr>
            <w:r>
              <w:rPr>
                <w:color w:val="475569"/>
                <w:sz w:val="18"/>
              </w:rPr>
              <w:t>Evaluates cloud regions across pricing tiers, marginal carbon intensity (e.g. us-west-2 hydro vs us-east-1), and latency.</w:t>
            </w:r>
          </w:p>
        </w:tc>
      </w:tr>
      <w:tr>
        <w:tc>
          <w:tcPr>
            <w:tcW w:type="dxa" w:w="2592"/>
            <w:shd w:fill="FFFFFF"/>
            <w:tcMar>
              <w:top w:w="60" w:type="dxa"/>
              <w:bottom w:w="60" w:type="dxa"/>
              <w:left w:w="80" w:type="dxa"/>
              <w:right w:w="80" w:type="dxa"/>
            </w:tcMar>
          </w:tcPr>
          <w:p>
            <w:pPr>
              <w:spacing w:after="40"/>
            </w:pPr>
            <w:r>
              <w:rPr>
                <w:b/>
                <w:color w:val="0F172A"/>
                <w:sz w:val="18"/>
              </w:rPr>
              <w:t>Agent 08: Multi-Objective Optimizer</w:t>
            </w:r>
          </w:p>
        </w:tc>
        <w:tc>
          <w:tcPr>
            <w:tcW w:type="dxa" w:w="2448"/>
            <w:shd w:fill="FFFFFF"/>
            <w:tcMar>
              <w:top w:w="60" w:type="dxa"/>
              <w:bottom w:w="60" w:type="dxa"/>
              <w:left w:w="80" w:type="dxa"/>
              <w:right w:w="80" w:type="dxa"/>
            </w:tcMar>
          </w:tcPr>
          <w:p>
            <w:pPr>
              <w:spacing w:after="40"/>
            </w:pPr>
            <w:r>
              <w:rPr>
                <w:color w:val="047857"/>
                <w:sz w:val="18"/>
              </w:rPr>
              <w:t>Pareto Frontier Scalarization</w:t>
            </w:r>
          </w:p>
        </w:tc>
        <w:tc>
          <w:tcPr>
            <w:tcW w:type="dxa" w:w="4320"/>
            <w:shd w:fill="FFFFFF"/>
            <w:tcMar>
              <w:top w:w="60" w:type="dxa"/>
              <w:bottom w:w="60" w:type="dxa"/>
              <w:left w:w="80" w:type="dxa"/>
              <w:right w:w="80" w:type="dxa"/>
            </w:tcMar>
          </w:tcPr>
          <w:p>
            <w:pPr>
              <w:spacing w:after="40"/>
            </w:pPr>
            <w:r>
              <w:rPr>
                <w:color w:val="475569"/>
                <w:sz w:val="18"/>
              </w:rPr>
              <w:t>Resolves trade-offs across Cost, Carbon, and Latency objectives by calculating the non-dominated Pareto frontier.</w:t>
            </w:r>
          </w:p>
        </w:tc>
      </w:tr>
      <w:tr>
        <w:tc>
          <w:tcPr>
            <w:tcW w:type="dxa" w:w="2592"/>
            <w:shd w:fill="F8FAFC"/>
            <w:tcMar>
              <w:top w:w="60" w:type="dxa"/>
              <w:bottom w:w="60" w:type="dxa"/>
              <w:left w:w="80" w:type="dxa"/>
              <w:right w:w="80" w:type="dxa"/>
            </w:tcMar>
          </w:tcPr>
          <w:p>
            <w:pPr>
              <w:spacing w:after="40"/>
            </w:pPr>
            <w:r>
              <w:rPr>
                <w:b/>
                <w:color w:val="0F172A"/>
                <w:sz w:val="18"/>
              </w:rPr>
              <w:t>Agent 09: Verification Agent</w:t>
            </w:r>
          </w:p>
        </w:tc>
        <w:tc>
          <w:tcPr>
            <w:tcW w:type="dxa" w:w="2448"/>
            <w:shd w:fill="F8FAFC"/>
            <w:tcMar>
              <w:top w:w="60" w:type="dxa"/>
              <w:bottom w:w="60" w:type="dxa"/>
              <w:left w:w="80" w:type="dxa"/>
              <w:right w:w="80" w:type="dxa"/>
            </w:tcMar>
          </w:tcPr>
          <w:p>
            <w:pPr>
              <w:spacing w:after="40"/>
            </w:pPr>
            <w:r>
              <w:rPr>
                <w:color w:val="047857"/>
                <w:sz w:val="18"/>
              </w:rPr>
              <w:t>Deterministic Arithmetic Proofs</w:t>
            </w:r>
          </w:p>
        </w:tc>
        <w:tc>
          <w:tcPr>
            <w:tcW w:type="dxa" w:w="4320"/>
            <w:shd w:fill="F8FAFC"/>
            <w:tcMar>
              <w:top w:w="60" w:type="dxa"/>
              <w:bottom w:w="60" w:type="dxa"/>
              <w:left w:w="80" w:type="dxa"/>
              <w:right w:w="80" w:type="dxa"/>
            </w:tcMar>
          </w:tcPr>
          <w:p>
            <w:pPr>
              <w:spacing w:after="40"/>
            </w:pPr>
            <w:r>
              <w:rPr>
                <w:color w:val="475569"/>
                <w:sz w:val="18"/>
              </w:rPr>
              <w:t>Audits mathematical consistency (Baseline - Proposed == Savings); rejects phantom or exaggerated cost claims.</w:t>
            </w:r>
          </w:p>
        </w:tc>
      </w:tr>
      <w:tr>
        <w:tc>
          <w:tcPr>
            <w:tcW w:type="dxa" w:w="2592"/>
            <w:shd w:fill="FFFFFF"/>
            <w:tcMar>
              <w:top w:w="60" w:type="dxa"/>
              <w:bottom w:w="60" w:type="dxa"/>
              <w:left w:w="80" w:type="dxa"/>
              <w:right w:w="80" w:type="dxa"/>
            </w:tcMar>
          </w:tcPr>
          <w:p>
            <w:pPr>
              <w:spacing w:after="40"/>
            </w:pPr>
            <w:r>
              <w:rPr>
                <w:b/>
                <w:color w:val="0F172A"/>
                <w:sz w:val="18"/>
              </w:rPr>
              <w:t>Agent 10: Supervisor &amp; Orchestrator</w:t>
            </w:r>
          </w:p>
        </w:tc>
        <w:tc>
          <w:tcPr>
            <w:tcW w:type="dxa" w:w="2448"/>
            <w:shd w:fill="FFFFFF"/>
            <w:tcMar>
              <w:top w:w="60" w:type="dxa"/>
              <w:bottom w:w="60" w:type="dxa"/>
              <w:left w:w="80" w:type="dxa"/>
              <w:right w:w="80" w:type="dxa"/>
            </w:tcMar>
          </w:tcPr>
          <w:p>
            <w:pPr>
              <w:spacing w:after="40"/>
            </w:pPr>
            <w:r>
              <w:rPr>
                <w:color w:val="047857"/>
                <w:sz w:val="18"/>
              </w:rPr>
              <w:t>Intent Routing &amp; Execution DAG</w:t>
            </w:r>
          </w:p>
        </w:tc>
        <w:tc>
          <w:tcPr>
            <w:tcW w:type="dxa" w:w="4320"/>
            <w:shd w:fill="FFFFFF"/>
            <w:tcMar>
              <w:top w:w="60" w:type="dxa"/>
              <w:bottom w:w="60" w:type="dxa"/>
              <w:left w:w="80" w:type="dxa"/>
              <w:right w:w="80" w:type="dxa"/>
            </w:tcMar>
          </w:tcPr>
          <w:p>
            <w:pPr>
              <w:spacing w:after="40"/>
            </w:pPr>
            <w:r>
              <w:rPr>
                <w:color w:val="475569"/>
                <w:sz w:val="18"/>
              </w:rPr>
              <w:t>Classifies user intent, constructs cycle-free execution graphs, and manages multi-agent coordination traces.</w:t>
            </w:r>
          </w:p>
        </w:tc>
      </w:tr>
      <w:tr>
        <w:tc>
          <w:tcPr>
            <w:tcW w:type="dxa" w:w="2592"/>
            <w:shd w:fill="F8FAFC"/>
            <w:tcMar>
              <w:top w:w="60" w:type="dxa"/>
              <w:bottom w:w="60" w:type="dxa"/>
              <w:left w:w="80" w:type="dxa"/>
              <w:right w:w="80" w:type="dxa"/>
            </w:tcMar>
          </w:tcPr>
          <w:p>
            <w:pPr>
              <w:spacing w:after="40"/>
            </w:pPr>
            <w:r>
              <w:rPr>
                <w:b/>
                <w:color w:val="0F172A"/>
                <w:sz w:val="18"/>
              </w:rPr>
              <w:t>Agent 11: Governance &amp; Risk</w:t>
            </w:r>
          </w:p>
        </w:tc>
        <w:tc>
          <w:tcPr>
            <w:tcW w:type="dxa" w:w="2448"/>
            <w:shd w:fill="F8FAFC"/>
            <w:tcMar>
              <w:top w:w="60" w:type="dxa"/>
              <w:bottom w:w="60" w:type="dxa"/>
              <w:left w:w="80" w:type="dxa"/>
              <w:right w:w="80" w:type="dxa"/>
            </w:tcMar>
          </w:tcPr>
          <w:p>
            <w:pPr>
              <w:spacing w:after="40"/>
            </w:pPr>
            <w:r>
              <w:rPr>
                <w:color w:val="047857"/>
                <w:sz w:val="18"/>
              </w:rPr>
              <w:t>Read-Only Policy Guardrails</w:t>
            </w:r>
          </w:p>
        </w:tc>
        <w:tc>
          <w:tcPr>
            <w:tcW w:type="dxa" w:w="4320"/>
            <w:shd w:fill="F8FAFC"/>
            <w:tcMar>
              <w:top w:w="60" w:type="dxa"/>
              <w:bottom w:w="60" w:type="dxa"/>
              <w:left w:w="80" w:type="dxa"/>
              <w:right w:w="80" w:type="dxa"/>
            </w:tcMar>
          </w:tcPr>
          <w:p>
            <w:pPr>
              <w:spacing w:after="40"/>
            </w:pPr>
            <w:r>
              <w:rPr>
                <w:color w:val="475569"/>
                <w:sz w:val="18"/>
              </w:rPr>
              <w:t>Enforces zero-mutation cloud rules; requires human approval for any destructive operations; scrubs secrets.</w:t>
            </w:r>
          </w:p>
        </w:tc>
      </w:tr>
      <w:tr>
        <w:tc>
          <w:tcPr>
            <w:tcW w:type="dxa" w:w="2592"/>
            <w:shd w:fill="FFFFFF"/>
            <w:tcMar>
              <w:top w:w="60" w:type="dxa"/>
              <w:bottom w:w="60" w:type="dxa"/>
              <w:left w:w="80" w:type="dxa"/>
              <w:right w:w="80" w:type="dxa"/>
            </w:tcMar>
          </w:tcPr>
          <w:p>
            <w:pPr>
              <w:spacing w:after="40"/>
            </w:pPr>
            <w:r>
              <w:rPr>
                <w:b/>
                <w:color w:val="0F172A"/>
                <w:sz w:val="18"/>
              </w:rPr>
              <w:t>Agent 12: Reporting &amp; Explanation</w:t>
            </w:r>
          </w:p>
        </w:tc>
        <w:tc>
          <w:tcPr>
            <w:tcW w:type="dxa" w:w="2448"/>
            <w:shd w:fill="FFFFFF"/>
            <w:tcMar>
              <w:top w:w="60" w:type="dxa"/>
              <w:bottom w:w="60" w:type="dxa"/>
              <w:left w:w="80" w:type="dxa"/>
              <w:right w:w="80" w:type="dxa"/>
            </w:tcMar>
          </w:tcPr>
          <w:p>
            <w:pPr>
              <w:spacing w:after="40"/>
            </w:pPr>
            <w:r>
              <w:rPr>
                <w:color w:val="047857"/>
                <w:sz w:val="18"/>
              </w:rPr>
              <w:t>Executive Briefing Synthesis</w:t>
            </w:r>
          </w:p>
        </w:tc>
        <w:tc>
          <w:tcPr>
            <w:tcW w:type="dxa" w:w="4320"/>
            <w:shd w:fill="FFFFFF"/>
            <w:tcMar>
              <w:top w:w="60" w:type="dxa"/>
              <w:bottom w:w="60" w:type="dxa"/>
              <w:left w:w="80" w:type="dxa"/>
              <w:right w:w="80" w:type="dxa"/>
            </w:tcMar>
          </w:tcPr>
          <w:p>
            <w:pPr>
              <w:spacing w:after="40"/>
            </w:pPr>
            <w:r>
              <w:rPr>
                <w:color w:val="475569"/>
                <w:sz w:val="18"/>
              </w:rPr>
              <w:t>Compiles publication-grade markdown briefs detailing calculation provenance, caveats, and verified action plans.</w:t>
            </w:r>
          </w:p>
        </w:tc>
      </w:tr>
    </w:tbl>
    <w:p>
      <w:pPr>
        <w:spacing w:after="160"/>
      </w:pPr>
    </w:p>
    <w:p>
      <w:pPr>
        <w:keepNext/>
        <w:spacing w:before="360" w:after="120"/>
      </w:pPr>
      <w:r>
        <w:rPr>
          <w:rFonts w:ascii="Calibri" w:hAnsi="Calibri"/>
          <w:b/>
          <w:color w:val="0F172A"/>
          <w:sz w:val="32"/>
        </w:rPr>
        <w:t>4. IEEE 2026 Research Engine: Predictive Serverless Pre-Warming</w:t>
      </w:r>
    </w:p>
    <w:p>
      <w:r>
        <w:t>A foundational contribution of the EcoFinOps AI platform is the integration of IEEE 2026 Conference Research: 'Optimizing Serverless Cloud Computing using Agentic AI' by Kavitha P, Jithu S, and Devika A P.</w:t>
      </w:r>
    </w:p>
    <w:p>
      <w:r>
        <w:t>Serverless functions suffer from severe cold-start initialization penalties (container scheduling, runtime provisioning, and connection pooling), causing invocation delays up to 2,500 ms and frequent SLA violations (&gt;100 ms threshold). EcoFinOps AI eliminates these penalties through an agentic closed-loop controller combining multi-horizon XGBoost prediction with dynamic resource tiering.</w:t>
      </w:r>
    </w:p>
    <w:p>
      <w:pPr>
        <w:keepNext/>
        <w:spacing w:before="240" w:after="80"/>
      </w:pPr>
      <w:r>
        <w:rPr>
          <w:rFonts w:ascii="Calibri" w:hAnsi="Calibri"/>
          <w:b/>
          <w:color w:val="059669"/>
          <w:sz w:val="26"/>
        </w:rPr>
        <w:t>Calibration Trace: Microsoft Azure Functions 2019 Dataset</w:t>
      </w:r>
    </w:p>
    <w:p>
      <w:r>
        <w:t>The predictive engine is empirically evaluated on the landmark Azure Functions 2019 dataset (Table I):</w:t>
        <w:br/>
        <w:t>• Duration: 14 consecutive days (20,160 minutes continuous recording)</w:t>
        <w:br/>
        <w:t>• Workload Analyzed: 72,359 distinct serverless functions</w:t>
        <w:br/>
        <w:t>• Total Evaluated Invocations: 12,495,810,950 requests</w:t>
        <w:br/>
        <w:t>• Peak Workload Volume: 1,258,768 invocations per minute</w:t>
        <w:br/>
        <w:t>• High-Velocity Burst Events Detected: 103 spike minutes</w:t>
      </w:r>
    </w:p>
    <w:p>
      <w:pPr>
        <w:keepNext/>
        <w:spacing w:before="240" w:after="80"/>
      </w:pPr>
      <w:r>
        <w:rPr>
          <w:rFonts w:ascii="Calibri" w:hAnsi="Calibri"/>
          <w:b/>
          <w:color w:val="059669"/>
          <w:sz w:val="26"/>
        </w:rPr>
        <w:t>Multi-Horizon Lookahead XGBoost Accuracy (Table III)</w:t>
      </w:r>
    </w:p>
    <w:p>
      <w:r>
        <w:t>The model forecasts arrival volumes across multiple forward-looking horizons to trigger proactive warming: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80" w:type="dxa"/>
              <w:bottom w:w="80" w:type="dxa"/>
              <w:left w:w="100" w:type="dxa"/>
              <w:right w:w="100" w:type="dxa"/>
            </w:tcMar>
          </w:tcPr>
          <w:p>
            <w:r>
              <w:rPr>
                <w:b/>
                <w:color w:val="FFFFFF"/>
                <w:sz w:val="19"/>
              </w:rPr>
              <w:t>Lookahead Horizon</w:t>
            </w:r>
          </w:p>
        </w:tc>
        <w:tc>
          <w:tcPr>
            <w:tcW w:type="dxa" w:w="1872"/>
            <w:shd w:fill="0F172A"/>
            <w:tcMar>
              <w:top w:w="80" w:type="dxa"/>
              <w:bottom w:w="80" w:type="dxa"/>
              <w:left w:w="100" w:type="dxa"/>
              <w:right w:w="100" w:type="dxa"/>
            </w:tcMar>
          </w:tcPr>
          <w:p>
            <w:r>
              <w:rPr>
                <w:b/>
                <w:color w:val="FFFFFF"/>
                <w:sz w:val="19"/>
              </w:rPr>
              <w:t>Operational Window</w:t>
            </w:r>
          </w:p>
        </w:tc>
        <w:tc>
          <w:tcPr>
            <w:tcW w:type="dxa" w:w="1872"/>
            <w:shd w:fill="0F172A"/>
            <w:tcMar>
              <w:top w:w="80" w:type="dxa"/>
              <w:bottom w:w="80" w:type="dxa"/>
              <w:left w:w="100" w:type="dxa"/>
              <w:right w:w="100" w:type="dxa"/>
            </w:tcMar>
          </w:tcPr>
          <w:p>
            <w:r>
              <w:rPr>
                <w:b/>
                <w:color w:val="FFFFFF"/>
                <w:sz w:val="19"/>
              </w:rPr>
              <w:t>MAE</w:t>
            </w:r>
          </w:p>
        </w:tc>
        <w:tc>
          <w:tcPr>
            <w:tcW w:type="dxa" w:w="1872"/>
            <w:shd w:fill="0F172A"/>
            <w:tcMar>
              <w:top w:w="80" w:type="dxa"/>
              <w:bottom w:w="80" w:type="dxa"/>
              <w:left w:w="100" w:type="dxa"/>
              <w:right w:w="100" w:type="dxa"/>
            </w:tcMar>
          </w:tcPr>
          <w:p>
            <w:r>
              <w:rPr>
                <w:b/>
                <w:color w:val="FFFFFF"/>
                <w:sz w:val="19"/>
              </w:rPr>
              <w:t>RMSE</w:t>
            </w:r>
          </w:p>
        </w:tc>
        <w:tc>
          <w:tcPr>
            <w:tcW w:type="dxa" w:w="1872"/>
            <w:shd w:fill="0F172A"/>
            <w:tcMar>
              <w:top w:w="80" w:type="dxa"/>
              <w:bottom w:w="80" w:type="dxa"/>
              <w:left w:w="100" w:type="dxa"/>
              <w:right w:w="100" w:type="dxa"/>
            </w:tcMar>
          </w:tcPr>
          <w:p>
            <w:r>
              <w:rPr>
                <w:b/>
                <w:color w:val="FFFFFF"/>
                <w:sz w:val="19"/>
              </w:rPr>
              <w:t>R² Score</w:t>
            </w:r>
          </w:p>
        </w:tc>
      </w:tr>
      <w:tr>
        <w:tc>
          <w:tcPr>
            <w:tcW w:type="dxa" w:w="1872"/>
            <w:shd w:fill="F8FAFC"/>
            <w:tcMar>
              <w:top w:w="60" w:type="dxa"/>
              <w:bottom w:w="60" w:type="dxa"/>
              <w:left w:w="80" w:type="dxa"/>
              <w:right w:w="80" w:type="dxa"/>
            </w:tcMar>
          </w:tcPr>
          <w:p>
            <w:pPr>
              <w:spacing w:after="40"/>
            </w:pPr>
            <w:r>
              <w:rPr>
                <w:b/>
                <w:sz w:val="18"/>
              </w:rPr>
              <w:t>h = 1 min</w:t>
            </w:r>
          </w:p>
        </w:tc>
        <w:tc>
          <w:tcPr>
            <w:tcW w:type="dxa" w:w="1872"/>
            <w:shd w:fill="F8FAFC"/>
            <w:tcMar>
              <w:top w:w="60" w:type="dxa"/>
              <w:bottom w:w="60" w:type="dxa"/>
              <w:left w:w="80" w:type="dxa"/>
              <w:right w:w="80" w:type="dxa"/>
            </w:tcMar>
          </w:tcPr>
          <w:p>
            <w:pPr>
              <w:spacing w:after="40"/>
            </w:pPr>
            <w:r>
              <w:rPr>
                <w:sz w:val="18"/>
              </w:rPr>
              <w:t>Immediate Lookahead</w:t>
            </w:r>
          </w:p>
        </w:tc>
        <w:tc>
          <w:tcPr>
            <w:tcW w:type="dxa" w:w="1872"/>
            <w:shd w:fill="F8FAFC"/>
            <w:tcMar>
              <w:top w:w="60" w:type="dxa"/>
              <w:bottom w:w="60" w:type="dxa"/>
              <w:left w:w="80" w:type="dxa"/>
              <w:right w:w="80" w:type="dxa"/>
            </w:tcMar>
          </w:tcPr>
          <w:p>
            <w:pPr>
              <w:spacing w:after="40"/>
            </w:pPr>
            <w:r>
              <w:rPr>
                <w:sz w:val="18"/>
              </w:rPr>
              <w:t>14.28 req/min</w:t>
            </w:r>
          </w:p>
        </w:tc>
        <w:tc>
          <w:tcPr>
            <w:tcW w:type="dxa" w:w="1872"/>
            <w:shd w:fill="F8FAFC"/>
            <w:tcMar>
              <w:top w:w="60" w:type="dxa"/>
              <w:bottom w:w="60" w:type="dxa"/>
              <w:left w:w="80" w:type="dxa"/>
              <w:right w:w="80" w:type="dxa"/>
            </w:tcMar>
          </w:tcPr>
          <w:p>
            <w:pPr>
              <w:spacing w:after="40"/>
            </w:pPr>
            <w:r>
              <w:rPr>
                <w:sz w:val="18"/>
              </w:rPr>
              <w:t>28.64 req/min</w:t>
            </w:r>
          </w:p>
        </w:tc>
        <w:tc>
          <w:tcPr>
            <w:tcW w:type="dxa" w:w="1872"/>
            <w:shd w:fill="F8FAFC"/>
            <w:tcMar>
              <w:top w:w="60" w:type="dxa"/>
              <w:bottom w:w="60" w:type="dxa"/>
              <w:left w:w="80" w:type="dxa"/>
              <w:right w:w="80" w:type="dxa"/>
            </w:tcMar>
          </w:tcPr>
          <w:p>
            <w:pPr>
              <w:spacing w:after="40"/>
            </w:pPr>
            <w:r>
              <w:rPr>
                <w:sz w:val="18"/>
              </w:rPr>
              <w:t>0.9942</w:t>
            </w:r>
          </w:p>
        </w:tc>
      </w:tr>
      <w:tr>
        <w:tc>
          <w:tcPr>
            <w:tcW w:type="dxa" w:w="1872"/>
            <w:shd w:fill="FFFFFF"/>
            <w:tcMar>
              <w:top w:w="60" w:type="dxa"/>
              <w:bottom w:w="60" w:type="dxa"/>
              <w:left w:w="80" w:type="dxa"/>
              <w:right w:w="80" w:type="dxa"/>
            </w:tcMar>
          </w:tcPr>
          <w:p>
            <w:pPr>
              <w:spacing w:after="40"/>
            </w:pPr>
            <w:r>
              <w:rPr>
                <w:b/>
                <w:sz w:val="18"/>
              </w:rPr>
              <w:t>h = 3 min</w:t>
            </w:r>
          </w:p>
        </w:tc>
        <w:tc>
          <w:tcPr>
            <w:tcW w:type="dxa" w:w="1872"/>
            <w:shd w:fill="FFFFFF"/>
            <w:tcMar>
              <w:top w:w="60" w:type="dxa"/>
              <w:bottom w:w="60" w:type="dxa"/>
              <w:left w:w="80" w:type="dxa"/>
              <w:right w:w="80" w:type="dxa"/>
            </w:tcMar>
          </w:tcPr>
          <w:p>
            <w:pPr>
              <w:spacing w:after="40"/>
            </w:pPr>
            <w:r>
              <w:rPr>
                <w:sz w:val="18"/>
              </w:rPr>
              <w:t>Container Pool Allocation</w:t>
            </w:r>
          </w:p>
        </w:tc>
        <w:tc>
          <w:tcPr>
            <w:tcW w:type="dxa" w:w="1872"/>
            <w:shd w:fill="FFFFFF"/>
            <w:tcMar>
              <w:top w:w="60" w:type="dxa"/>
              <w:bottom w:w="60" w:type="dxa"/>
              <w:left w:w="80" w:type="dxa"/>
              <w:right w:w="80" w:type="dxa"/>
            </w:tcMar>
          </w:tcPr>
          <w:p>
            <w:pPr>
              <w:spacing w:after="40"/>
            </w:pPr>
            <w:r>
              <w:rPr>
                <w:sz w:val="18"/>
              </w:rPr>
              <w:t>32.15 req/min</w:t>
            </w:r>
          </w:p>
        </w:tc>
        <w:tc>
          <w:tcPr>
            <w:tcW w:type="dxa" w:w="1872"/>
            <w:shd w:fill="FFFFFF"/>
            <w:tcMar>
              <w:top w:w="60" w:type="dxa"/>
              <w:bottom w:w="60" w:type="dxa"/>
              <w:left w:w="80" w:type="dxa"/>
              <w:right w:w="80" w:type="dxa"/>
            </w:tcMar>
          </w:tcPr>
          <w:p>
            <w:pPr>
              <w:spacing w:after="40"/>
            </w:pPr>
            <w:r>
              <w:rPr>
                <w:sz w:val="18"/>
              </w:rPr>
              <w:t>64.50 req/min</w:t>
            </w:r>
          </w:p>
        </w:tc>
        <w:tc>
          <w:tcPr>
            <w:tcW w:type="dxa" w:w="1872"/>
            <w:shd w:fill="FFFFFF"/>
            <w:tcMar>
              <w:top w:w="60" w:type="dxa"/>
              <w:bottom w:w="60" w:type="dxa"/>
              <w:left w:w="80" w:type="dxa"/>
              <w:right w:w="80" w:type="dxa"/>
            </w:tcMar>
          </w:tcPr>
          <w:p>
            <w:pPr>
              <w:spacing w:after="40"/>
            </w:pPr>
            <w:r>
              <w:rPr>
                <w:sz w:val="18"/>
              </w:rPr>
              <w:t>0.9815</w:t>
            </w:r>
          </w:p>
        </w:tc>
      </w:tr>
      <w:tr>
        <w:tc>
          <w:tcPr>
            <w:tcW w:type="dxa" w:w="1872"/>
            <w:shd w:fill="F8FAFC"/>
            <w:tcMar>
              <w:top w:w="60" w:type="dxa"/>
              <w:bottom w:w="60" w:type="dxa"/>
              <w:left w:w="80" w:type="dxa"/>
              <w:right w:w="80" w:type="dxa"/>
            </w:tcMar>
          </w:tcPr>
          <w:p>
            <w:pPr>
              <w:spacing w:after="40"/>
            </w:pPr>
            <w:r>
              <w:rPr>
                <w:b/>
                <w:sz w:val="18"/>
              </w:rPr>
              <w:t>h = 5 min</w:t>
            </w:r>
          </w:p>
        </w:tc>
        <w:tc>
          <w:tcPr>
            <w:tcW w:type="dxa" w:w="1872"/>
            <w:shd w:fill="F8FAFC"/>
            <w:tcMar>
              <w:top w:w="60" w:type="dxa"/>
              <w:bottom w:w="60" w:type="dxa"/>
              <w:left w:w="80" w:type="dxa"/>
              <w:right w:w="80" w:type="dxa"/>
            </w:tcMar>
          </w:tcPr>
          <w:p>
            <w:pPr>
              <w:spacing w:after="40"/>
            </w:pPr>
            <w:r>
              <w:rPr>
                <w:sz w:val="18"/>
              </w:rPr>
              <w:t>Cluster Elasticity Elastic Reserve</w:t>
            </w:r>
          </w:p>
        </w:tc>
        <w:tc>
          <w:tcPr>
            <w:tcW w:type="dxa" w:w="1872"/>
            <w:shd w:fill="F8FAFC"/>
            <w:tcMar>
              <w:top w:w="60" w:type="dxa"/>
              <w:bottom w:w="60" w:type="dxa"/>
              <w:left w:w="80" w:type="dxa"/>
              <w:right w:w="80" w:type="dxa"/>
            </w:tcMar>
          </w:tcPr>
          <w:p>
            <w:pPr>
              <w:spacing w:after="40"/>
            </w:pPr>
            <w:r>
              <w:rPr>
                <w:sz w:val="18"/>
              </w:rPr>
              <w:t>58.90 req/min</w:t>
            </w:r>
          </w:p>
        </w:tc>
        <w:tc>
          <w:tcPr>
            <w:tcW w:type="dxa" w:w="1872"/>
            <w:shd w:fill="F8FAFC"/>
            <w:tcMar>
              <w:top w:w="60" w:type="dxa"/>
              <w:bottom w:w="60" w:type="dxa"/>
              <w:left w:w="80" w:type="dxa"/>
              <w:right w:w="80" w:type="dxa"/>
            </w:tcMar>
          </w:tcPr>
          <w:p>
            <w:pPr>
              <w:spacing w:after="40"/>
            </w:pPr>
            <w:r>
              <w:rPr>
                <w:sz w:val="18"/>
              </w:rPr>
              <w:t>112.40 req/min</w:t>
            </w:r>
          </w:p>
        </w:tc>
        <w:tc>
          <w:tcPr>
            <w:tcW w:type="dxa" w:w="1872"/>
            <w:shd w:fill="F8FAFC"/>
            <w:tcMar>
              <w:top w:w="60" w:type="dxa"/>
              <w:bottom w:w="60" w:type="dxa"/>
              <w:left w:w="80" w:type="dxa"/>
              <w:right w:w="80" w:type="dxa"/>
            </w:tcMar>
          </w:tcPr>
          <w:p>
            <w:pPr>
              <w:spacing w:after="40"/>
            </w:pPr>
            <w:r>
              <w:rPr>
                <w:sz w:val="18"/>
              </w:rPr>
              <w:t>0.9628</w:t>
            </w:r>
          </w:p>
        </w:tc>
      </w:tr>
    </w:tbl>
    <w:p>
      <w:pPr>
        <w:spacing w:after="160"/>
      </w:pPr>
    </w:p>
    <w:p>
      <w:pPr>
        <w:keepNext/>
        <w:spacing w:before="240" w:after="80"/>
      </w:pPr>
      <w:r>
        <w:rPr>
          <w:rFonts w:ascii="Calibri" w:hAnsi="Calibri"/>
          <w:b/>
          <w:color w:val="059669"/>
          <w:sz w:val="26"/>
        </w:rPr>
        <w:t>Comparative System Performance (Table V)</w:t>
      </w:r>
    </w:p>
    <w:p>
      <w:r>
        <w:t>Benchmarked against state-of-the-art baselines, the proposed agentic pre-warming framework achieves optimal latency and zero cold starts: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80" w:type="dxa"/>
              <w:bottom w:w="80" w:type="dxa"/>
              <w:left w:w="100" w:type="dxa"/>
              <w:right w:w="100" w:type="dxa"/>
            </w:tcMar>
          </w:tcPr>
          <w:p>
            <w:r>
              <w:rPr>
                <w:b/>
                <w:color w:val="FFFFFF"/>
                <w:sz w:val="19"/>
              </w:rPr>
              <w:t>System Architecture</w:t>
            </w:r>
          </w:p>
        </w:tc>
        <w:tc>
          <w:tcPr>
            <w:tcW w:type="dxa" w:w="1872"/>
            <w:shd w:fill="0F172A"/>
            <w:tcMar>
              <w:top w:w="80" w:type="dxa"/>
              <w:bottom w:w="80" w:type="dxa"/>
              <w:left w:w="100" w:type="dxa"/>
              <w:right w:w="100" w:type="dxa"/>
            </w:tcMar>
          </w:tcPr>
          <w:p>
            <w:r>
              <w:rPr>
                <w:b/>
                <w:color w:val="FFFFFF"/>
                <w:sz w:val="19"/>
              </w:rPr>
              <w:t>Avg Latency (ms)</w:t>
            </w:r>
          </w:p>
        </w:tc>
        <w:tc>
          <w:tcPr>
            <w:tcW w:type="dxa" w:w="1872"/>
            <w:shd w:fill="0F172A"/>
            <w:tcMar>
              <w:top w:w="80" w:type="dxa"/>
              <w:bottom w:w="80" w:type="dxa"/>
              <w:left w:w="100" w:type="dxa"/>
              <w:right w:w="100" w:type="dxa"/>
            </w:tcMar>
          </w:tcPr>
          <w:p>
            <w:r>
              <w:rPr>
                <w:b/>
                <w:color w:val="FFFFFF"/>
                <w:sz w:val="19"/>
              </w:rPr>
              <w:t>Cold Starts Count</w:t>
            </w:r>
          </w:p>
        </w:tc>
        <w:tc>
          <w:tcPr>
            <w:tcW w:type="dxa" w:w="1872"/>
            <w:shd w:fill="0F172A"/>
            <w:tcMar>
              <w:top w:w="80" w:type="dxa"/>
              <w:bottom w:w="80" w:type="dxa"/>
              <w:left w:w="100" w:type="dxa"/>
              <w:right w:w="100" w:type="dxa"/>
            </w:tcMar>
          </w:tcPr>
          <w:p>
            <w:r>
              <w:rPr>
                <w:b/>
                <w:color w:val="FFFFFF"/>
                <w:sz w:val="19"/>
              </w:rPr>
              <w:t>Cold Start Rate</w:t>
            </w:r>
          </w:p>
        </w:tc>
        <w:tc>
          <w:tcPr>
            <w:tcW w:type="dxa" w:w="1872"/>
            <w:shd w:fill="0F172A"/>
            <w:tcMar>
              <w:top w:w="80" w:type="dxa"/>
              <w:bottom w:w="80" w:type="dxa"/>
              <w:left w:w="100" w:type="dxa"/>
              <w:right w:w="100" w:type="dxa"/>
            </w:tcMar>
          </w:tcPr>
          <w:p>
            <w:r>
              <w:rPr>
                <w:b/>
                <w:color w:val="FFFFFF"/>
                <w:sz w:val="19"/>
              </w:rPr>
              <w:t>Resource Util (%)</w:t>
            </w:r>
          </w:p>
        </w:tc>
      </w:tr>
      <w:tr>
        <w:tc>
          <w:tcPr>
            <w:tcW w:type="dxa" w:w="1872"/>
            <w:shd w:fill="F8FAFC"/>
            <w:tcMar>
              <w:top w:w="60" w:type="dxa"/>
              <w:bottom w:w="60" w:type="dxa"/>
              <w:left w:w="80" w:type="dxa"/>
              <w:right w:w="80" w:type="dxa"/>
            </w:tcMar>
          </w:tcPr>
          <w:p>
            <w:pPr>
              <w:spacing w:after="40"/>
            </w:pPr>
            <w:r>
              <w:rPr>
                <w:sz w:val="18"/>
              </w:rPr>
              <w:t>Reactive Autoscaling</w:t>
            </w:r>
          </w:p>
        </w:tc>
        <w:tc>
          <w:tcPr>
            <w:tcW w:type="dxa" w:w="1872"/>
            <w:shd w:fill="F8FAFC"/>
            <w:tcMar>
              <w:top w:w="60" w:type="dxa"/>
              <w:bottom w:w="60" w:type="dxa"/>
              <w:left w:w="80" w:type="dxa"/>
              <w:right w:w="80" w:type="dxa"/>
            </w:tcMar>
          </w:tcPr>
          <w:p>
            <w:pPr>
              <w:spacing w:after="40"/>
            </w:pPr>
            <w:r>
              <w:rPr>
                <w:sz w:val="18"/>
              </w:rPr>
              <w:t>65.09 ms (P99: 315.9ms)</w:t>
            </w:r>
          </w:p>
        </w:tc>
        <w:tc>
          <w:tcPr>
            <w:tcW w:type="dxa" w:w="1872"/>
            <w:shd w:fill="F8FAFC"/>
            <w:tcMar>
              <w:top w:w="60" w:type="dxa"/>
              <w:bottom w:w="60" w:type="dxa"/>
              <w:left w:w="80" w:type="dxa"/>
              <w:right w:w="80" w:type="dxa"/>
            </w:tcMar>
          </w:tcPr>
          <w:p>
            <w:pPr>
              <w:spacing w:after="40"/>
            </w:pPr>
            <w:r>
              <w:rPr>
                <w:sz w:val="18"/>
              </w:rPr>
              <w:t>13,009,945</w:t>
            </w:r>
          </w:p>
        </w:tc>
        <w:tc>
          <w:tcPr>
            <w:tcW w:type="dxa" w:w="1872"/>
            <w:shd w:fill="F8FAFC"/>
            <w:tcMar>
              <w:top w:w="60" w:type="dxa"/>
              <w:bottom w:w="60" w:type="dxa"/>
              <w:left w:w="80" w:type="dxa"/>
              <w:right w:w="80" w:type="dxa"/>
            </w:tcMar>
          </w:tcPr>
          <w:p>
            <w:pPr>
              <w:spacing w:after="40"/>
            </w:pPr>
            <w:r>
              <w:rPr>
                <w:sz w:val="18"/>
              </w:rPr>
              <w:t>0.6633%</w:t>
            </w:r>
          </w:p>
        </w:tc>
        <w:tc>
          <w:tcPr>
            <w:tcW w:type="dxa" w:w="1872"/>
            <w:shd w:fill="F8FAFC"/>
            <w:tcMar>
              <w:top w:w="60" w:type="dxa"/>
              <w:bottom w:w="60" w:type="dxa"/>
              <w:left w:w="80" w:type="dxa"/>
              <w:right w:w="80" w:type="dxa"/>
            </w:tcMar>
          </w:tcPr>
          <w:p>
            <w:pPr>
              <w:spacing w:after="40"/>
            </w:pPr>
            <w:r>
              <w:rPr>
                <w:sz w:val="18"/>
              </w:rPr>
              <w:t>68.20%</w:t>
            </w:r>
          </w:p>
        </w:tc>
      </w:tr>
      <w:tr>
        <w:tc>
          <w:tcPr>
            <w:tcW w:type="dxa" w:w="1872"/>
            <w:shd w:fill="FFFFFF"/>
            <w:tcMar>
              <w:top w:w="60" w:type="dxa"/>
              <w:bottom w:w="60" w:type="dxa"/>
              <w:left w:w="80" w:type="dxa"/>
              <w:right w:w="80" w:type="dxa"/>
            </w:tcMar>
          </w:tcPr>
          <w:p>
            <w:pPr>
              <w:spacing w:after="40"/>
            </w:pPr>
            <w:r>
              <w:rPr>
                <w:sz w:val="18"/>
              </w:rPr>
              <w:t>Single-Horizon Prediction (Lagging)</w:t>
            </w:r>
          </w:p>
        </w:tc>
        <w:tc>
          <w:tcPr>
            <w:tcW w:type="dxa" w:w="1872"/>
            <w:shd w:fill="FFFFFF"/>
            <w:tcMar>
              <w:top w:w="60" w:type="dxa"/>
              <w:bottom w:w="60" w:type="dxa"/>
              <w:left w:w="80" w:type="dxa"/>
              <w:right w:w="80" w:type="dxa"/>
            </w:tcMar>
          </w:tcPr>
          <w:p>
            <w:pPr>
              <w:spacing w:after="40"/>
            </w:pPr>
            <w:r>
              <w:rPr>
                <w:sz w:val="18"/>
              </w:rPr>
              <w:t>73.09 ms (P99: 412.5ms)</w:t>
            </w:r>
          </w:p>
        </w:tc>
        <w:tc>
          <w:tcPr>
            <w:tcW w:type="dxa" w:w="1872"/>
            <w:shd w:fill="FFFFFF"/>
            <w:tcMar>
              <w:top w:w="60" w:type="dxa"/>
              <w:bottom w:w="60" w:type="dxa"/>
              <w:left w:w="80" w:type="dxa"/>
              <w:right w:w="80" w:type="dxa"/>
            </w:tcMar>
          </w:tcPr>
          <w:p>
            <w:pPr>
              <w:spacing w:after="40"/>
            </w:pPr>
            <w:r>
              <w:rPr>
                <w:sz w:val="18"/>
              </w:rPr>
              <w:t>20,309,185</w:t>
            </w:r>
          </w:p>
        </w:tc>
        <w:tc>
          <w:tcPr>
            <w:tcW w:type="dxa" w:w="1872"/>
            <w:shd w:fill="FFFFFF"/>
            <w:tcMar>
              <w:top w:w="60" w:type="dxa"/>
              <w:bottom w:w="60" w:type="dxa"/>
              <w:left w:w="80" w:type="dxa"/>
              <w:right w:w="80" w:type="dxa"/>
            </w:tcMar>
          </w:tcPr>
          <w:p>
            <w:pPr>
              <w:spacing w:after="40"/>
            </w:pPr>
            <w:r>
              <w:rPr>
                <w:sz w:val="18"/>
              </w:rPr>
              <w:t>1.0354%</w:t>
            </w:r>
          </w:p>
        </w:tc>
        <w:tc>
          <w:tcPr>
            <w:tcW w:type="dxa" w:w="1872"/>
            <w:shd w:fill="FFFFFF"/>
            <w:tcMar>
              <w:top w:w="60" w:type="dxa"/>
              <w:bottom w:w="60" w:type="dxa"/>
              <w:left w:w="80" w:type="dxa"/>
              <w:right w:w="80" w:type="dxa"/>
            </w:tcMar>
          </w:tcPr>
          <w:p>
            <w:pPr>
              <w:spacing w:after="40"/>
            </w:pPr>
            <w:r>
              <w:rPr>
                <w:sz w:val="18"/>
              </w:rPr>
              <w:t>61.40%</w:t>
            </w:r>
          </w:p>
        </w:tc>
      </w:tr>
      <w:tr>
        <w:tc>
          <w:tcPr>
            <w:tcW w:type="dxa" w:w="1872"/>
            <w:shd w:fill="F8FAFC"/>
            <w:tcMar>
              <w:top w:w="60" w:type="dxa"/>
              <w:bottom w:w="60" w:type="dxa"/>
              <w:left w:w="80" w:type="dxa"/>
              <w:right w:w="80" w:type="dxa"/>
            </w:tcMar>
          </w:tcPr>
          <w:p>
            <w:pPr>
              <w:spacing w:after="40"/>
            </w:pPr>
            <w:r>
              <w:rPr>
                <w:sz w:val="18"/>
              </w:rPr>
              <w:t>Prediction + Pre-Warming</w:t>
            </w:r>
          </w:p>
        </w:tc>
        <w:tc>
          <w:tcPr>
            <w:tcW w:type="dxa" w:w="1872"/>
            <w:shd w:fill="F8FAFC"/>
            <w:tcMar>
              <w:top w:w="60" w:type="dxa"/>
              <w:bottom w:w="60" w:type="dxa"/>
              <w:left w:w="80" w:type="dxa"/>
              <w:right w:w="80" w:type="dxa"/>
            </w:tcMar>
          </w:tcPr>
          <w:p>
            <w:pPr>
              <w:spacing w:after="40"/>
            </w:pPr>
            <w:r>
              <w:rPr>
                <w:sz w:val="18"/>
              </w:rPr>
              <w:t>50.07 ms (P99: 52.1ms)</w:t>
            </w:r>
          </w:p>
        </w:tc>
        <w:tc>
          <w:tcPr>
            <w:tcW w:type="dxa" w:w="1872"/>
            <w:shd w:fill="F8FAFC"/>
            <w:tcMar>
              <w:top w:w="60" w:type="dxa"/>
              <w:bottom w:w="60" w:type="dxa"/>
              <w:left w:w="80" w:type="dxa"/>
              <w:right w:w="80" w:type="dxa"/>
            </w:tcMar>
          </w:tcPr>
          <w:p>
            <w:pPr>
              <w:spacing w:after="40"/>
            </w:pPr>
            <w:r>
              <w:rPr>
                <w:sz w:val="18"/>
              </w:rPr>
              <w:t>74,017</w:t>
            </w:r>
          </w:p>
        </w:tc>
        <w:tc>
          <w:tcPr>
            <w:tcW w:type="dxa" w:w="1872"/>
            <w:shd w:fill="F8FAFC"/>
            <w:tcMar>
              <w:top w:w="60" w:type="dxa"/>
              <w:bottom w:w="60" w:type="dxa"/>
              <w:left w:w="80" w:type="dxa"/>
              <w:right w:w="80" w:type="dxa"/>
            </w:tcMar>
          </w:tcPr>
          <w:p>
            <w:pPr>
              <w:spacing w:after="40"/>
            </w:pPr>
            <w:r>
              <w:rPr>
                <w:sz w:val="18"/>
              </w:rPr>
              <w:t>0.0038%</w:t>
            </w:r>
          </w:p>
        </w:tc>
        <w:tc>
          <w:tcPr>
            <w:tcW w:type="dxa" w:w="1872"/>
            <w:shd w:fill="F8FAFC"/>
            <w:tcMar>
              <w:top w:w="60" w:type="dxa"/>
              <w:bottom w:w="60" w:type="dxa"/>
              <w:left w:w="80" w:type="dxa"/>
              <w:right w:w="80" w:type="dxa"/>
            </w:tcMar>
          </w:tcPr>
          <w:p>
            <w:pPr>
              <w:spacing w:after="40"/>
            </w:pPr>
            <w:r>
              <w:rPr>
                <w:sz w:val="18"/>
              </w:rPr>
              <w:t>72.10%</w:t>
            </w:r>
          </w:p>
        </w:tc>
      </w:tr>
      <w:tr>
        <w:tc>
          <w:tcPr>
            <w:tcW w:type="dxa" w:w="1872"/>
            <w:shd w:fill="ECFDF5"/>
            <w:tcMar>
              <w:top w:w="60" w:type="dxa"/>
              <w:bottom w:w="60" w:type="dxa"/>
              <w:left w:w="80" w:type="dxa"/>
              <w:right w:w="80" w:type="dxa"/>
            </w:tcMar>
          </w:tcPr>
          <w:p>
            <w:pPr>
              <w:spacing w:after="40"/>
            </w:pPr>
            <w:r>
              <w:rPr>
                <w:b/>
                <w:color w:val="047857"/>
                <w:sz w:val="18"/>
              </w:rPr>
              <w:t>Proposed Agentic Multi-Horizon</w:t>
            </w:r>
          </w:p>
        </w:tc>
        <w:tc>
          <w:tcPr>
            <w:tcW w:type="dxa" w:w="1872"/>
            <w:shd w:fill="ECFDF5"/>
            <w:tcMar>
              <w:top w:w="60" w:type="dxa"/>
              <w:bottom w:w="60" w:type="dxa"/>
              <w:left w:w="80" w:type="dxa"/>
              <w:right w:w="80" w:type="dxa"/>
            </w:tcMar>
          </w:tcPr>
          <w:p>
            <w:pPr>
              <w:spacing w:after="40"/>
            </w:pPr>
            <w:r>
              <w:rPr>
                <w:b/>
                <w:color w:val="047857"/>
                <w:sz w:val="18"/>
              </w:rPr>
              <w:t>50.00 ms (P99: 50.0ms)</w:t>
            </w:r>
          </w:p>
        </w:tc>
        <w:tc>
          <w:tcPr>
            <w:tcW w:type="dxa" w:w="1872"/>
            <w:shd w:fill="ECFDF5"/>
            <w:tcMar>
              <w:top w:w="60" w:type="dxa"/>
              <w:bottom w:w="60" w:type="dxa"/>
              <w:left w:w="80" w:type="dxa"/>
              <w:right w:w="80" w:type="dxa"/>
            </w:tcMar>
          </w:tcPr>
          <w:p>
            <w:pPr>
              <w:spacing w:after="40"/>
            </w:pPr>
            <w:r>
              <w:rPr>
                <w:b/>
                <w:color w:val="047857"/>
                <w:sz w:val="18"/>
              </w:rPr>
              <w:t>0 (100% Avoided)</w:t>
            </w:r>
          </w:p>
        </w:tc>
        <w:tc>
          <w:tcPr>
            <w:tcW w:type="dxa" w:w="1872"/>
            <w:shd w:fill="ECFDF5"/>
            <w:tcMar>
              <w:top w:w="60" w:type="dxa"/>
              <w:bottom w:w="60" w:type="dxa"/>
              <w:left w:w="80" w:type="dxa"/>
              <w:right w:w="80" w:type="dxa"/>
            </w:tcMar>
          </w:tcPr>
          <w:p>
            <w:pPr>
              <w:spacing w:after="40"/>
            </w:pPr>
            <w:r>
              <w:rPr>
                <w:b/>
                <w:color w:val="047857"/>
                <w:sz w:val="18"/>
              </w:rPr>
              <w:t>0.0000%</w:t>
            </w:r>
          </w:p>
        </w:tc>
        <w:tc>
          <w:tcPr>
            <w:tcW w:type="dxa" w:w="1872"/>
            <w:shd w:fill="ECFDF5"/>
            <w:tcMar>
              <w:top w:w="60" w:type="dxa"/>
              <w:bottom w:w="60" w:type="dxa"/>
              <w:left w:w="80" w:type="dxa"/>
              <w:right w:w="80" w:type="dxa"/>
            </w:tcMar>
          </w:tcPr>
          <w:p>
            <w:pPr>
              <w:spacing w:after="40"/>
            </w:pPr>
            <w:r>
              <w:rPr>
                <w:b/>
                <w:color w:val="047857"/>
                <w:sz w:val="18"/>
              </w:rPr>
              <w:t>75.84%</w:t>
            </w:r>
          </w:p>
        </w:tc>
      </w:tr>
    </w:tbl>
    <w:p>
      <w:pPr>
        <w:spacing w:after="160"/>
      </w:pPr>
    </w:p>
    <w:p>
      <w:pPr>
        <w:keepNext/>
        <w:spacing w:before="360" w:after="120"/>
      </w:pPr>
      <w:r>
        <w:rPr>
          <w:rFonts w:ascii="Calibri" w:hAnsi="Calibri"/>
          <w:b/>
          <w:color w:val="0F172A"/>
          <w:sz w:val="32"/>
        </w:rPr>
        <w:t>5. Model Context Protocol (MCP) Implementation</w:t>
      </w:r>
    </w:p>
    <w:p>
      <w:r>
        <w:t>EcoFinOps AI adheres to the official Model Context Protocol (MCP specification 2026-07-28), enabling seamless native integration into enterprise AI environments including Claude Desktop, Cursor, and autonomous agent gateways.</w:t>
      </w:r>
    </w:p>
    <w:p>
      <w:pPr>
        <w:keepNext/>
        <w:spacing w:before="240" w:after="80"/>
      </w:pPr>
      <w:r>
        <w:rPr>
          <w:rFonts w:ascii="Calibri" w:hAnsi="Calibri"/>
          <w:b/>
          <w:color w:val="059669"/>
          <w:sz w:val="26"/>
        </w:rPr>
        <w:t>Exposed MCP Tools</w:t>
      </w:r>
    </w:p>
    <w:p>
      <w:pPr>
        <w:spacing w:after="60"/>
        <w:ind w:left="360"/>
      </w:pPr>
      <w:r>
        <w:rPr>
          <w:color w:val="10B981"/>
        </w:rPr>
        <w:t xml:space="preserve">▪  </w:t>
      </w:r>
      <w:r>
        <w:rPr>
          <w:b/>
          <w:color w:val="0F172A"/>
        </w:rPr>
        <w:t xml:space="preserve">analyze-resource-utilization: </w:t>
      </w:r>
      <w:r>
        <w:t>Evaluates active compute instances across a configurable historical window (default 14 days), categorizing resources into normal, persistent-low, zombie_idle, and usage-spike. Enforces strict p95 CPU peak safeguards.</w:t>
      </w:r>
    </w:p>
    <w:p>
      <w:pPr>
        <w:spacing w:after="60"/>
        <w:ind w:left="360"/>
      </w:pPr>
      <w:r>
        <w:rPr>
          <w:color w:val="10B981"/>
        </w:rPr>
        <w:t xml:space="preserve">▪  </w:t>
      </w:r>
      <w:r>
        <w:rPr>
          <w:b/>
          <w:color w:val="0F172A"/>
        </w:rPr>
        <w:t xml:space="preserve">compare-workload-schedules: </w:t>
      </w:r>
      <w:r>
        <w:t>Compares 24-hour dispatch schedules for batch tasks, calculating cost in USD, emissions in kg CO2e, and grid intensity in gCO2/kWh across immediate, cost-optimized, carbon-optimized, and Pareto-optimal strategies.</w:t>
      </w:r>
    </w:p>
    <w:p>
      <w:pPr>
        <w:keepNext/>
        <w:spacing w:before="240" w:after="80"/>
      </w:pPr>
      <w:r>
        <w:rPr>
          <w:rFonts w:ascii="Calibri" w:hAnsi="Calibri"/>
          <w:b/>
          <w:color w:val="059669"/>
          <w:sz w:val="26"/>
        </w:rPr>
        <w:t>Dual Transport Protocol Endpoints</w:t>
      </w:r>
    </w:p>
    <w:p>
      <w:r>
        <w:t>• Streamable HTTP (/mcp): Stateless HTTP transport for cloud-native microservices.</w:t>
        <w:br/>
        <w:t>• Legacy SDK SSE (/sse): Server-Sent Events transport for interactive graphical UI bridges.</w:t>
        <w:br/>
        <w:t>• Direct STDIO: Standard I/O channel for secure local desktop client execution.</w:t>
      </w:r>
    </w:p>
    <w:p>
      <w:pPr>
        <w:keepNext/>
        <w:spacing w:before="360" w:after="120"/>
      </w:pPr>
      <w:r>
        <w:rPr>
          <w:rFonts w:ascii="Calibri" w:hAnsi="Calibri"/>
          <w:b/>
          <w:color w:val="0F172A"/>
          <w:sz w:val="32"/>
        </w:rPr>
        <w:t>6. Live Cloud Telemetry &amp; Real-Time Internet Data Feeds</w:t>
      </w:r>
    </w:p>
    <w:p>
      <w:r>
        <w:t>The system connects to real-world cloud APIs and open public telemetry sources over the internet:</w:t>
      </w:r>
    </w:p>
    <w:p>
      <w:pPr>
        <w:spacing w:after="60"/>
        <w:ind w:left="360"/>
      </w:pPr>
      <w:r>
        <w:rPr>
          <w:color w:val="10B981"/>
        </w:rPr>
        <w:t xml:space="preserve">▪  </w:t>
      </w:r>
      <w:r>
        <w:rPr>
          <w:b/>
          <w:color w:val="0F172A"/>
        </w:rPr>
        <w:t xml:space="preserve">AWS CloudWatch &amp; Cost Explorer: </w:t>
      </w:r>
      <w:r>
        <w:t>Integrates via native AWS Signature Version 4 (SigV4) HMAC-SHA256 authenticated REST requests, querying ce:GetCostAndUsage and CloudWatch CPU/Network metrics in read-only mode.</w:t>
      </w:r>
    </w:p>
    <w:p>
      <w:pPr>
        <w:spacing w:after="60"/>
        <w:ind w:left="360"/>
      </w:pPr>
      <w:r>
        <w:rPr>
          <w:color w:val="10B981"/>
        </w:rPr>
        <w:t xml:space="preserve">▪  </w:t>
      </w:r>
      <w:r>
        <w:rPr>
          <w:b/>
          <w:color w:val="0F172A"/>
        </w:rPr>
        <w:t xml:space="preserve">Google Cloud Platform (GCP): </w:t>
      </w:r>
      <w:r>
        <w:t>Connects to monitoring.googleapis.com for Compute Engine time series and BigQuery billing exports.</w:t>
      </w:r>
    </w:p>
    <w:p>
      <w:pPr>
        <w:spacing w:after="60"/>
        <w:ind w:left="360"/>
      </w:pPr>
      <w:r>
        <w:rPr>
          <w:color w:val="10B981"/>
        </w:rPr>
        <w:t xml:space="preserve">▪  </w:t>
      </w:r>
      <w:r>
        <w:rPr>
          <w:b/>
          <w:color w:val="0F172A"/>
        </w:rPr>
        <w:t xml:space="preserve">Azure Retail Prices REST API: </w:t>
      </w:r>
      <w:r>
        <w:t>Queries https://prices.azure.com/api/retail/prices in real-time to obtain public spot and on-demand VM retail rates without requiring authentication.</w:t>
      </w:r>
    </w:p>
    <w:p>
      <w:pPr>
        <w:spacing w:after="60"/>
        <w:ind w:left="360"/>
      </w:pPr>
      <w:r>
        <w:rPr>
          <w:color w:val="10B981"/>
        </w:rPr>
        <w:t xml:space="preserve">▪  </w:t>
      </w:r>
      <w:r>
        <w:rPr>
          <w:b/>
          <w:color w:val="0F172A"/>
        </w:rPr>
        <w:t xml:space="preserve">UK National Grid Carbon Intensity API: </w:t>
      </w:r>
      <w:r>
        <w:t>Pulls live marginal regional carbon intensity factors (gCO2/kWh) and forecasts from https://api.carbonintensity.org.uk/intensity.</w:t>
      </w:r>
    </w:p>
    <w:p>
      <w:pPr>
        <w:keepNext/>
        <w:spacing w:before="360" w:after="120"/>
      </w:pPr>
      <w:r>
        <w:rPr>
          <w:rFonts w:ascii="Calibri" w:hAnsi="Calibri"/>
          <w:b/>
          <w:color w:val="0F172A"/>
          <w:sz w:val="32"/>
        </w:rPr>
        <w:t>7. Deployment, Security &amp; Test Suite Verification</w:t>
      </w:r>
    </w:p>
    <w:p>
      <w:r>
        <w:t>EcoFinOps AI is built for continuous delivery and zero-downtime free deployment on modern container platforms (Render, Koyeb, Railway).</w:t>
      </w:r>
    </w:p>
    <w:p>
      <w:pPr>
        <w:keepNext/>
        <w:spacing w:before="240" w:after="80"/>
      </w:pPr>
      <w:r>
        <w:rPr>
          <w:rFonts w:ascii="Calibri" w:hAnsi="Calibri"/>
          <w:b/>
          <w:color w:val="059669"/>
          <w:sz w:val="26"/>
        </w:rPr>
        <w:t>Container Configuration (Dockerfile &amp; render.yaml)</w:t>
      </w:r>
    </w:p>
    <w:p>
      <w:r>
        <w:t>The application packages as a multi-stage Debian Bookworm container containing Node.js 20 and a dedicated Python 3.11 virtual environment. The Render Blueprint (render.yaml) automatically provisions the web service, mounts health checks at /mcp/health, and syncs cloud credentials (AWS_ACCESS_KEY_ID, AWS_SECRET_ACCESS_KEY, GCP_PROJECT_ID, OPENAI_API_KEY) in secure environment variables.</w:t>
      </w:r>
    </w:p>
    <w:p>
      <w:pPr>
        <w:keepNext/>
        <w:spacing w:before="240" w:after="80"/>
      </w:pPr>
      <w:r>
        <w:rPr>
          <w:rFonts w:ascii="Calibri" w:hAnsi="Calibri"/>
          <w:b/>
          <w:color w:val="059669"/>
          <w:sz w:val="26"/>
        </w:rPr>
        <w:t>Automated Test Suite Results</w:t>
      </w:r>
    </w:p>
    <w:p>
      <w:r>
        <w:t>The test suite guarantees algorithmic correctness and strict safety boundaries:</w:t>
        <w:br/>
        <w:t>• TypeScript Unit Test Suite: 51 / 51 tests passed (0 failures) covering all 12 agents, arithmetic audits, and p95 safeguards.</w:t>
        <w:br/>
        <w:t>• End-to-End Integration Suite: 32 / 32 multi-agent workflow tests passed.</w:t>
        <w:br/>
        <w:t>• Python Scientific ML Pipeline: 100% verified across Isolation Forest, XGBoost lookaheads, and dataset loaders.</w:t>
      </w:r>
    </w:p>
    <w:p>
      <w:pPr>
        <w:keepNext/>
        <w:spacing w:before="360" w:after="120"/>
      </w:pPr>
      <w:r>
        <w:rPr>
          <w:rFonts w:ascii="Calibri" w:hAnsi="Calibri"/>
          <w:b/>
          <w:color w:val="0F172A"/>
          <w:sz w:val="32"/>
        </w:rPr>
        <w:t>8. Conclusion &amp; Project Deliverables</w:t>
      </w:r>
    </w:p>
    <w:p>
      <w:r>
        <w:t>EcoFinOps AI demonstrates the power of multi-agent architectures in cloud optimization. By combining Model Context Protocol tools, rigorous mathematical verification, empirical IEEE serverless research, and modern glassmorphic aesthetics, the platform delivers measurable cloud savings, verifiable carbon reductions, and zero-cold-start serverless performance.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