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40"/>
        <w:jc w:val="center"/>
      </w:pPr>
      <w:r>
        <w:rPr>
          <w:b/>
          <w:color w:val="000000"/>
          <w:sz w:val="60"/>
        </w:rPr>
        <w:t>CLOUD COMPUTING PROJECT</w:t>
      </w:r>
    </w:p>
    <w:p>
      <w:pPr>
        <w:spacing w:after="320"/>
        <w:jc w:val="center"/>
      </w:pPr>
      <w:r>
        <w:rPr>
          <w:color w:val="3C3C3C"/>
          <w:sz w:val="32"/>
        </w:rPr>
        <w:t>Project Documentation</w:t>
      </w:r>
    </w:p>
    <w:p>
      <w:pPr>
        <w:spacing w:after="80"/>
      </w:pPr>
      <w:r>
        <w:rPr>
          <w:b/>
          <w:sz w:val="22"/>
        </w:rPr>
        <w:t>Submitted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Roll Number</w:t>
            </w:r>
          </w:p>
        </w:tc>
      </w:tr>
      <w:tr>
        <w:tc>
          <w:tcPr>
            <w:tcW w:type="dxa" w:w="4320"/>
          </w:tcPr>
          <w:p>
            <w:r>
              <w:t>Jithu S</w:t>
            </w:r>
          </w:p>
        </w:tc>
        <w:tc>
          <w:tcPr>
            <w:tcW w:type="dxa" w:w="4320"/>
          </w:tcPr>
          <w:p>
            <w:r>
              <w:t>CB.PS.I5DAS23157</w:t>
            </w:r>
          </w:p>
        </w:tc>
      </w:tr>
      <w:tr>
        <w:tc>
          <w:tcPr>
            <w:tcW w:type="dxa" w:w="4320"/>
          </w:tcPr>
          <w:p>
            <w:r>
              <w:t>Devika A P</w:t>
            </w:r>
          </w:p>
        </w:tc>
        <w:tc>
          <w:tcPr>
            <w:tcW w:type="dxa" w:w="4320"/>
          </w:tcPr>
          <w:p>
            <w:r>
              <w:t>CB.PS.I5DAS23048</w:t>
            </w:r>
          </w:p>
        </w:tc>
      </w:tr>
      <w:tr>
        <w:tc>
          <w:tcPr>
            <w:tcW w:type="dxa" w:w="4320"/>
          </w:tcPr>
          <w:p>
            <w:r>
              <w:t>Kavitha P</w:t>
            </w:r>
          </w:p>
        </w:tc>
        <w:tc>
          <w:tcPr>
            <w:tcW w:type="dxa" w:w="4320"/>
          </w:tcPr>
          <w:p>
            <w:r>
              <w:t>Faculty / Co-Author</w:t>
            </w:r>
          </w:p>
        </w:tc>
      </w:tr>
    </w:tbl>
    <w:p>
      <w:pPr>
        <w:spacing w:after="0" w:before="0"/>
      </w:pPr>
    </w:p>
    <w:p>
      <w:pPr>
        <w:spacing w:after="80"/>
      </w:pPr>
      <w:r>
        <w:rPr>
          <w:b/>
          <w:sz w:val="22"/>
        </w:rPr>
        <w:t>Projects Covered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Live Website</w:t>
            </w:r>
          </w:p>
        </w:tc>
      </w:tr>
      <w:tr>
        <w:tc>
          <w:tcPr>
            <w:tcW w:type="dxa" w:w="3600"/>
          </w:tcPr>
          <w:p>
            <w:r>
              <w:t>1. EcoFinOps AI</w:t>
            </w:r>
          </w:p>
        </w:tc>
        <w:tc>
          <w:tcPr>
            <w:tcW w:type="dxa" w:w="5040"/>
          </w:tcPr>
          <w:p>
            <w:r>
              <w:t>https://ecofinops-ai.onrender.com/</w:t>
            </w:r>
          </w:p>
        </w:tc>
      </w:tr>
    </w:tbl>
    <w:p>
      <w:pPr>
        <w:spacing w:after="0" w:before="0"/>
      </w:pPr>
    </w:p>
    <w:p>
      <w:pPr>
        <w:pStyle w:val="Heading1"/>
        <w:spacing w:before="280" w:after="120"/>
      </w:pPr>
      <w:r>
        <w:t>Project 1: EcoFinOps AI</w:t>
      </w:r>
    </w:p>
    <w:p>
      <w:pPr>
        <w:pStyle w:val="Heading2"/>
        <w:spacing w:before="160" w:after="80"/>
      </w:pPr>
      <w:r>
        <w:t>1. Project Overview</w:t>
      </w:r>
    </w:p>
    <w:p>
      <w:r>
        <w:t>EcoFinOps AI is an enterprise-grade Cloud FinOps, Carbon-Aware Workload Optimization, and Predictive Serverless Pre-Warming platform built on the NitroStack Model Context Protocol (MCP) framework and Machine Learning. It features 12 specialized autonomous agents that perform multi-cloud spend analysis, statistical time-series forecasting, unsupervised anomaly detection, Scope 2 GHG carbon emissions modeling, carbon-aware workload scheduling, rightsizing safeguards, and deterministic mathematical verification. Additionally, it incorporates IEEE 2026 conference research on multi-horizon XGBoost lookahead pre-warming, calibrated against 12.49 billion invocations from the Microsoft Azure Functions 2019 trace dataset.</w:t>
      </w:r>
    </w:p>
    <w:p>
      <w:pPr>
        <w:pStyle w:val="Heading2"/>
        <w:spacing w:before="160" w:after="80"/>
      </w:pPr>
      <w:r>
        <w:t>2. Links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</w:tcPr>
          <w:p>
            <w:r>
              <w:rPr>
                <w:b/>
              </w:rPr>
              <w:t>Website</w:t>
            </w:r>
          </w:p>
        </w:tc>
        <w:tc>
          <w:tcPr>
            <w:tcW w:type="dxa" w:w="5472"/>
          </w:tcPr>
          <w:p>
            <w:r>
              <w:t>https://ecofinops-ai.onrender.com/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GitHub Repository</w:t>
            </w:r>
          </w:p>
        </w:tc>
        <w:tc>
          <w:tcPr>
            <w:tcW w:type="dxa" w:w="5472"/>
          </w:tcPr>
          <w:p>
            <w:r>
              <w:t>https://github.com/jithusunil30/cloud-computing-project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Backend API / MCP Endpoint</w:t>
            </w:r>
          </w:p>
        </w:tc>
        <w:tc>
          <w:tcPr>
            <w:tcW w:type="dxa" w:w="5472"/>
          </w:tcPr>
          <w:p>
            <w:r>
              <w:t>https://ecofinops-ai.onrender.com/mcp</w:t>
            </w:r>
          </w:p>
        </w:tc>
      </w:tr>
    </w:tbl>
    <w:p>
      <w:pPr>
        <w:spacing w:after="0" w:before="0"/>
      </w:pPr>
    </w:p>
    <w:p>
      <w:pPr>
        <w:pStyle w:val="Heading2"/>
        <w:spacing w:before="160" w:after="80"/>
      </w:pPr>
      <w:r>
        <w:t>3. Technologies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6192"/>
          </w:tcPr>
          <w:p>
            <w:r>
              <w:rPr>
                <w:b/>
              </w:rPr>
              <w:t>Technologies</w:t>
            </w:r>
          </w:p>
        </w:tc>
      </w:tr>
      <w:tr>
        <w:tc>
          <w:tcPr>
            <w:tcW w:type="dxa" w:w="3168"/>
          </w:tcPr>
          <w:p>
            <w:r>
              <w:t>Frontend &amp; Web Portal</w:t>
            </w:r>
          </w:p>
        </w:tc>
        <w:tc>
          <w:tcPr>
            <w:tcW w:type="dxa" w:w="6192"/>
          </w:tcPr>
          <w:p>
            <w:r>
              <w:t>HTML5, CSS3 Glassmorphism, Dynamic Obsidian Black Canvas Fluid Physics Engine, Responsive Layout</w:t>
            </w:r>
          </w:p>
        </w:tc>
      </w:tr>
      <w:tr>
        <w:tc>
          <w:tcPr>
            <w:tcW w:type="dxa" w:w="3168"/>
          </w:tcPr>
          <w:p>
            <w:r>
              <w:t>Interactive Visual Console</w:t>
            </w:r>
          </w:p>
        </w:tc>
        <w:tc>
          <w:tcPr>
            <w:tcW w:type="dxa" w:w="6192"/>
          </w:tcPr>
          <w:p>
            <w:r>
              <w:t>Next.js, React, TypeScript, Tailwind CSS, Lucide Icons, NitroStack Widgets SDK</w:t>
            </w:r>
          </w:p>
        </w:tc>
      </w:tr>
      <w:tr>
        <w:tc>
          <w:tcPr>
            <w:tcW w:type="dxa" w:w="3168"/>
          </w:tcPr>
          <w:p>
            <w:r>
              <w:t>Backend &amp; MCP Orchestration</w:t>
            </w:r>
          </w:p>
        </w:tc>
        <w:tc>
          <w:tcPr>
            <w:tcW w:type="dxa" w:w="6192"/>
          </w:tcPr>
          <w:p>
            <w:r>
              <w:t>TypeScript, Node.js, NitroStack Core SDK (MCP Standard 2026-07-28, Dual Transport: Streamable HTTP, SSE, STDIO)</w:t>
            </w:r>
          </w:p>
        </w:tc>
      </w:tr>
      <w:tr>
        <w:tc>
          <w:tcPr>
            <w:tcW w:type="dxa" w:w="3168"/>
          </w:tcPr>
          <w:p>
            <w:r>
              <w:t>Machine Learning &amp; Analytics</w:t>
            </w:r>
          </w:p>
        </w:tc>
        <w:tc>
          <w:tcPr>
            <w:tcW w:type="dxa" w:w="6192"/>
          </w:tcPr>
          <w:p>
            <w:r>
              <w:t>Python 3.11, Scikit-Learn (Isolation Forest), XGBoost (Multi-Horizon Pre-Warming), Pandas, NumPy</w:t>
            </w:r>
          </w:p>
        </w:tc>
      </w:tr>
      <w:tr>
        <w:tc>
          <w:tcPr>
            <w:tcW w:type="dxa" w:w="3168"/>
          </w:tcPr>
          <w:p>
            <w:r>
              <w:t>Live Telemetry &amp; APIs</w:t>
            </w:r>
          </w:p>
        </w:tc>
        <w:tc>
          <w:tcPr>
            <w:tcW w:type="dxa" w:w="6192"/>
          </w:tcPr>
          <w:p>
            <w:r>
              <w:t>AWS Cost Explorer &amp; CloudWatch (SigV4 HMAC-SHA256), GCP Cloud Monitoring, Azure Retail Pricing REST API, UK National Grid Carbon API</w:t>
            </w:r>
          </w:p>
        </w:tc>
      </w:tr>
      <w:tr>
        <w:tc>
          <w:tcPr>
            <w:tcW w:type="dxa" w:w="3168"/>
          </w:tcPr>
          <w:p>
            <w:r>
              <w:t>Deployment</w:t>
            </w:r>
          </w:p>
        </w:tc>
        <w:tc>
          <w:tcPr>
            <w:tcW w:type="dxa" w:w="6192"/>
          </w:tcPr>
          <w:p>
            <w:r>
              <w:t>Docker (Multi-stage Debian Bookworm Container) and Render (Web Service Free Tier Continuous Deployment)</w:t>
            </w:r>
          </w:p>
        </w:tc>
      </w:tr>
    </w:tbl>
    <w:p>
      <w:pPr>
        <w:spacing w:after="0" w:before="0"/>
      </w:pPr>
    </w:p>
    <w:p>
      <w:pPr>
        <w:pStyle w:val="Heading2"/>
        <w:spacing w:before="160" w:after="80"/>
      </w:pPr>
      <w:r>
        <w:t>4. How EcoFinOps AI Works</w:t>
      </w:r>
    </w:p>
    <w:p>
      <w:pPr>
        <w:spacing w:after="60"/>
        <w:ind w:left="360"/>
      </w:pPr>
      <w:r>
        <w:rPr>
          <w:b/>
        </w:rPr>
        <w:t>1.</w:t>
        <w:tab/>
        <w:t>Ingest Data &amp; Live Telemetry.</w:t>
      </w:r>
      <w:r>
        <w:t xml:space="preserve"> The system ingests multi-cloud billing records, real-time AWS CloudWatch telemetry via SigV4, GCP monitoring streams, live Azure retail spot prices, and electric grid carbon intensity factors over the internet.</w:t>
      </w:r>
    </w:p>
    <w:p>
      <w:pPr>
        <w:spacing w:after="60"/>
        <w:ind w:left="360"/>
      </w:pPr>
      <w:r>
        <w:rPr>
          <w:b/>
        </w:rPr>
        <w:t>2.</w:t>
        <w:tab/>
        <w:t>Analyze Spend &amp; Detect Anomalies.</w:t>
      </w:r>
      <w:r>
        <w:t xml:space="preserve"> Agent 01 calculates cost breakdowns and budget pacing, while Agent 03 applies an unsupervised Isolation Forest model (contamination = 0.05) to isolate cost spikes and zombie idle compute nodes.</w:t>
      </w:r>
    </w:p>
    <w:p>
      <w:pPr>
        <w:spacing w:after="60"/>
        <w:ind w:left="360"/>
      </w:pPr>
      <w:r>
        <w:rPr>
          <w:b/>
        </w:rPr>
        <w:t>3.</w:t>
        <w:tab/>
        <w:t>Forecast Future Costs.</w:t>
      </w:r>
      <w:r>
        <w:t xml:space="preserve"> Agent 02 trains a rolling-origin time-series ensemble (Ridge Regression + Random Forest) to project next-24h and next-30d cloud spend with 95% confidence intervals and validation metrics (MAE, RMSE, MAPE).</w:t>
      </w:r>
    </w:p>
    <w:p>
      <w:pPr>
        <w:spacing w:after="60"/>
        <w:ind w:left="360"/>
      </w:pPr>
      <w:r>
        <w:rPr>
          <w:b/>
        </w:rPr>
        <w:t>4.</w:t>
        <w:tab/>
        <w:t>Model Scope 2 Carbon &amp; Reschedule Jobs.</w:t>
      </w:r>
      <w:r>
        <w:t xml:space="preserve"> Agent 04 models energy consumption (kWh) and greenhouse gas emissions (kg CO2e). Agent 05 evaluates candidate 24-hour dispatch windows to shift delay-tolerant batch jobs into clean energy periods while strictly satisfying arrival deadlines.</w:t>
      </w:r>
    </w:p>
    <w:p>
      <w:pPr>
        <w:spacing w:after="60"/>
        <w:ind w:left="360"/>
      </w:pPr>
      <w:r>
        <w:rPr>
          <w:b/>
        </w:rPr>
        <w:t>5.</w:t>
        <w:tab/>
        <w:t>Optimize Sizing with Safety Safeguards.</w:t>
      </w:r>
      <w:r>
        <w:t xml:space="preserve"> Agent 06 evaluates rightsizing recommendations, strictly enforcing a mandatory peak p95 CPU &lt;= 65% safeguard rule to protect mission-critical workload bursts from degradation.</w:t>
      </w:r>
    </w:p>
    <w:p>
      <w:pPr>
        <w:spacing w:after="60"/>
        <w:ind w:left="360"/>
      </w:pPr>
      <w:r>
        <w:rPr>
          <w:b/>
        </w:rPr>
        <w:t>6.</w:t>
        <w:tab/>
        <w:t>Predictive Serverless Pre-Warming.</w:t>
      </w:r>
      <w:r>
        <w:t xml:space="preserve"> The serverless engine uses multi-horizon lookahead XGBoost models (h = 1, 3, 5 min) and dynamic 3-tier container pooling to pre-warm serverless containers, completely eliminating cold starts (0 cold starts, 100% avoided) and maintaining flat 50ms latency.</w:t>
      </w:r>
    </w:p>
    <w:p>
      <w:pPr>
        <w:spacing w:after="60"/>
        <w:ind w:left="360"/>
      </w:pPr>
      <w:r>
        <w:rPr>
          <w:b/>
        </w:rPr>
        <w:t>7.</w:t>
        <w:tab/>
        <w:t>Deterministic Verification &amp; Audit.</w:t>
      </w:r>
      <w:r>
        <w:t xml:space="preserve"> Agent 09 mathematically audits all recommendations (verifying that Baseline - Proposed == Verified Savings), rejecting any exaggerated claims. Agent 11 guarantees zero-mutation read-only safety guardrails, requiring explicit user approval for any destructive changes.</w:t>
      </w:r>
    </w:p>
    <w:p>
      <w:pPr>
        <w:pStyle w:val="Heading2"/>
        <w:spacing w:before="160" w:after="80"/>
      </w:pPr>
      <w:r>
        <w:t>5. Main Files and Folders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</w:tcPr>
          <w:p>
            <w:r>
              <w:rPr>
                <w:b/>
              </w:rPr>
              <w:t>File / Folder</w:t>
            </w:r>
          </w:p>
        </w:tc>
        <w:tc>
          <w:tcPr>
            <w:tcW w:type="dxa" w:w="619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168"/>
          </w:tcPr>
          <w:p>
            <w:r>
              <w:t>src/index.ts</w:t>
            </w:r>
          </w:p>
        </w:tc>
        <w:tc>
          <w:tcPr>
            <w:tcW w:type="dxa" w:w="6192"/>
          </w:tcPr>
          <w:p>
            <w:r>
              <w:t>Main server entry point: boots NitroStack MCP dual transport, mounts web portal and REST endpoints.</w:t>
            </w:r>
          </w:p>
        </w:tc>
      </w:tr>
      <w:tr>
        <w:tc>
          <w:tcPr>
            <w:tcW w:type="dxa" w:w="3168"/>
          </w:tcPr>
          <w:p>
            <w:r>
              <w:t>src/portal/portal-template.ts</w:t>
            </w:r>
          </w:p>
        </w:tc>
        <w:tc>
          <w:tcPr>
            <w:tcW w:type="dxa" w:w="6192"/>
          </w:tcPr>
          <w:p>
            <w:r>
              <w:t>Interactive glassmorphic web dashboard, real-time telemetry stream engine, and dynamic canvas fluid physics.</w:t>
            </w:r>
          </w:p>
        </w:tc>
      </w:tr>
      <w:tr>
        <w:tc>
          <w:tcPr>
            <w:tcW w:type="dxa" w:w="3168"/>
          </w:tcPr>
          <w:p>
            <w:r>
              <w:t>src/modules/agents/</w:t>
            </w:r>
          </w:p>
        </w:tc>
        <w:tc>
          <w:tcPr>
            <w:tcW w:type="dxa" w:w="6192"/>
          </w:tcPr>
          <w:p>
            <w:r>
              <w:t>12 autonomous specialist agents (FinOps, Forecasting, Anomaly, Carbon, Scheduling, Rightsizing, Verification, etc.).</w:t>
            </w:r>
          </w:p>
        </w:tc>
      </w:tr>
      <w:tr>
        <w:tc>
          <w:tcPr>
            <w:tcW w:type="dxa" w:w="3168"/>
          </w:tcPr>
          <w:p>
            <w:r>
              <w:t>src/modules/cloud/cloud-telemetry.service.ts</w:t>
            </w:r>
          </w:p>
        </w:tc>
        <w:tc>
          <w:tcPr>
            <w:tcW w:type="dxa" w:w="6192"/>
          </w:tcPr>
          <w:p>
            <w:r>
              <w:t>Live cloud provider telemetry service (AWS SigV4, GCP, Azure Retail Pricing, National Grid Carbon API).</w:t>
            </w:r>
          </w:p>
        </w:tc>
      </w:tr>
      <w:tr>
        <w:tc>
          <w:tcPr>
            <w:tcW w:type="dxa" w:w="3168"/>
          </w:tcPr>
          <w:p>
            <w:r>
              <w:t>src/python/src/serverless_prewarming.py</w:t>
            </w:r>
          </w:p>
        </w:tc>
        <w:tc>
          <w:tcPr>
            <w:tcW w:type="dxa" w:w="6192"/>
          </w:tcPr>
          <w:p>
            <w:r>
              <w:t>IEEE 2026 serverless pre-warming engine calibrated on the Azure Functions 2019 dataset.</w:t>
            </w:r>
          </w:p>
        </w:tc>
      </w:tr>
      <w:tr>
        <w:tc>
          <w:tcPr>
            <w:tcW w:type="dxa" w:w="3168"/>
          </w:tcPr>
          <w:p>
            <w:r>
              <w:t>src/widgets/</w:t>
            </w:r>
          </w:p>
        </w:tc>
        <w:tc>
          <w:tcPr>
            <w:tcW w:type="dxa" w:w="6192"/>
          </w:tcPr>
          <w:p>
            <w:r>
              <w:t>Next.js interactive visualizer widgets (/dashboard, /resource-utilization, /schedule-comparison).</w:t>
            </w:r>
          </w:p>
        </w:tc>
      </w:tr>
      <w:tr>
        <w:tc>
          <w:tcPr>
            <w:tcW w:type="dxa" w:w="3168"/>
          </w:tcPr>
          <w:p>
            <w:r>
              <w:t>Dockerfile</w:t>
            </w:r>
          </w:p>
        </w:tc>
        <w:tc>
          <w:tcPr>
            <w:tcW w:type="dxa" w:w="6192"/>
          </w:tcPr>
          <w:p>
            <w:r>
              <w:t>Multi-stage container definition compiling TypeScript and setting up Python 3.11 virtual environment.</w:t>
            </w:r>
          </w:p>
        </w:tc>
      </w:tr>
      <w:tr>
        <w:tc>
          <w:tcPr>
            <w:tcW w:type="dxa" w:w="3168"/>
          </w:tcPr>
          <w:p>
            <w:r>
              <w:t>render.yaml</w:t>
            </w:r>
          </w:p>
        </w:tc>
        <w:tc>
          <w:tcPr>
            <w:tcW w:type="dxa" w:w="6192"/>
          </w:tcPr>
          <w:p>
            <w:r>
              <w:t>Infrastructure as code specification for automated continuous deployment on Render.</w:t>
            </w:r>
          </w:p>
        </w:tc>
      </w:tr>
      <w:tr>
        <w:tc>
          <w:tcPr>
            <w:tcW w:type="dxa" w:w="3168"/>
          </w:tcPr>
          <w:p>
            <w:r>
              <w:t>package.json</w:t>
            </w:r>
          </w:p>
        </w:tc>
        <w:tc>
          <w:tcPr>
            <w:tcW w:type="dxa" w:w="6192"/>
          </w:tcPr>
          <w:p>
            <w:r>
              <w:t>Node.js dependencies, CLI build targets, and test execution scripts.</w:t>
            </w:r>
          </w:p>
        </w:tc>
      </w:tr>
    </w:tbl>
    <w:p>
      <w:pPr>
        <w:spacing w:after="0" w:before="0"/>
      </w:pPr>
    </w:p>
    <w:p>
      <w:pPr>
        <w:pStyle w:val="Heading2"/>
        <w:spacing w:before="160" w:after="80"/>
      </w:pPr>
      <w:r>
        <w:t>6. How to Use the Website</w:t>
      </w:r>
    </w:p>
    <w:p>
      <w:pPr>
        <w:spacing w:after="60"/>
        <w:ind w:left="360"/>
      </w:pPr>
      <w:r>
        <w:rPr>
          <w:b/>
        </w:rPr>
        <w:t>1.</w:t>
        <w:tab/>
        <w:t>Open the website.</w:t>
      </w:r>
      <w:r>
        <w:t xml:space="preserve"> Go to the deployed EcoFinOps AI web application on Render: https://ecofinops-ai.onrender.com/</w:t>
      </w:r>
    </w:p>
    <w:p>
      <w:pPr>
        <w:spacing w:after="60"/>
        <w:ind w:left="360"/>
      </w:pPr>
      <w:r>
        <w:rPr>
          <w:b/>
        </w:rPr>
        <w:t>2.</w:t>
        <w:tab/>
        <w:t>Live 5-Second Telemetry Feed.</w:t>
      </w:r>
      <w:r>
        <w:t xml:space="preserve"> Observe the live rolling compute usage line chart and active cloud resources inventory streaming real-time metrics every 5 seconds.</w:t>
      </w:r>
    </w:p>
    <w:p>
      <w:pPr>
        <w:spacing w:after="60"/>
        <w:ind w:left="360"/>
      </w:pPr>
      <w:r>
        <w:rPr>
          <w:b/>
        </w:rPr>
        <w:t>3.</w:t>
        <w:tab/>
        <w:t>Run Multi-Agent Scenarios.</w:t>
      </w:r>
      <w:r>
        <w:t xml:space="preserve"> Click on pre-configured optimizer scenarios (Cross-Domain FinOps, Anomaly Detection, Carbon Shifting, 30-Day Forecast) or enter custom natural language queries.</w:t>
      </w:r>
    </w:p>
    <w:p>
      <w:pPr>
        <w:spacing w:after="60"/>
        <w:ind w:left="360"/>
      </w:pPr>
      <w:r>
        <w:rPr>
          <w:b/>
        </w:rPr>
        <w:t>4.</w:t>
        <w:tab/>
        <w:t>Serverless Pre-Warming Simulator.</w:t>
      </w:r>
      <w:r>
        <w:t xml:space="preserve"> Use the interactive Serverless Surge Calculator to compare reactive autoscaling vs. agentic lookahead pre-warming across customizable traffic surges.</w:t>
      </w:r>
    </w:p>
    <w:p>
      <w:pPr>
        <w:spacing w:after="60"/>
        <w:ind w:left="360"/>
      </w:pPr>
      <w:r>
        <w:rPr>
          <w:b/>
        </w:rPr>
        <w:t>5.</w:t>
        <w:tab/>
        <w:t>Query Live Internet Data.</w:t>
      </w:r>
      <w:r>
        <w:t xml:space="preserve"> Click 'Query Live Data Over Internet' to pull real-time VM spot rates from Azure Retail API and national grid carbon emissions factors.</w:t>
      </w:r>
    </w:p>
    <w:p>
      <w:pPr>
        <w:spacing w:after="60"/>
        <w:ind w:left="360"/>
      </w:pPr>
      <w:r>
        <w:rPr>
          <w:b/>
        </w:rPr>
        <w:t>6.</w:t>
        <w:tab/>
        <w:t>Connect via Model Context Protocol (MCP).</w:t>
      </w:r>
      <w:r>
        <w:t xml:space="preserve"> Copy the one-click MCP JSON configuration to connect Claude Desktop, Cursor, or AI sidecars to the live endpoint.</w:t>
      </w:r>
    </w:p>
    <w:p>
      <w:pPr>
        <w:pStyle w:val="Heading2"/>
        <w:spacing w:before="160" w:after="80"/>
      </w:pPr>
      <w:r>
        <w:t>7. Quick Test</w:t>
      </w:r>
    </w:p>
    <w:p>
      <w:r>
        <w:t>Test the application locally or on cloud using the automated test suite:</w:t>
        <w:br/>
        <w:t>• TypeScript Unit Test Suite: Run 'npm run test:unit' to verify all 51 automated agent unit tests (51 passed, 0 failed).</w:t>
        <w:br/>
        <w:t>• Integration Test Suite: Run 'npm run test:integration' to validate end-to-end multi-agent workflow execution.</w:t>
        <w:br/>
        <w:t>• Python Scientific ML Pipeline: Run 'npm run test:python' to evaluate Isolation Forest, time-series forecasting, and XGBoost lookahead accuracy.</w:t>
        <w:br/>
        <w:t>• REST API Endpoints: Query '/api/cloud/live-stream' and '/api/cloud/telemetry' to verify live JSON data responses.</w:t>
      </w:r>
    </w:p>
    <w:p>
      <w:pPr>
        <w:spacing w:after="0" w:before="0"/>
      </w:pPr>
    </w:p>
    <w:p>
      <w:pPr>
        <w:spacing w:before="200" w:after="80"/>
      </w:pPr>
      <w:r>
        <w:rPr>
          <w:b/>
          <w:sz w:val="22"/>
        </w:rPr>
        <w:t>Deployed Project Links</w:t>
      </w:r>
    </w:p>
    <w:p>
      <w:pPr>
        <w:spacing w:after="40"/>
      </w:pPr>
      <w:r>
        <w:rPr>
          <w:b/>
        </w:rPr>
        <w:t>EcoFinOps AI</w:t>
      </w:r>
    </w:p>
    <w:p>
      <w:pPr>
        <w:spacing w:after="20"/>
      </w:pPr>
      <w:r>
        <w:t>Frontend / Web Portal: https://ecofinops-ai.onrender.com/</w:t>
      </w:r>
    </w:p>
    <w:p>
      <w:pPr>
        <w:spacing w:after="20"/>
      </w:pPr>
      <w:r>
        <w:t>Backend / MCP Endpoint: https://ecofinops-ai.onrender.com/mcp</w:t>
      </w:r>
    </w:p>
    <w:p>
      <w:pPr>
        <w:spacing w:after="160"/>
      </w:pPr>
      <w:r>
        <w:t>GitHub Repository: https://github.com/jithusunil30/cloud-computing-project</w:t>
      </w:r>
    </w:p>
    <w:p>
      <w:pPr>
        <w:spacing w:before="200" w:after="80"/>
      </w:pPr>
      <w:r>
        <w:rPr>
          <w:b/>
          <w:sz w:val="22"/>
        </w:rPr>
        <w:t>Conclusion</w:t>
      </w:r>
    </w:p>
    <w:p>
      <w:r>
        <w:t>The Cloud Computing project presents EcoFinOps AI, an autonomous multi-agent platform for cloud financial management, carbon emissions reduction, and predictive serverless pre-warming. EcoFinOps AI unifies 12 specialized agents coordinated by the Model Context Protocol to analyze multi-cloud spend, forecast expenditures, isolate anomalies, estimate Scope 2 GHG emissions, and schedule workloads into green energy windows. Incorporating IEEE 2026 conference research, the platform benchmarked multi-horizon XGBoost lookahead against 12.49 billion invocations from the Azure Functions 2019 dataset, successfully eliminating 100% of cold starts and sustaining a flat 50 ms latency ceiling. Deployed on Render using a production Docker container and featuring an interactive obsidian glassmorphic interface, EcoFinOps AI delivers accessible, verifiable, and sustainable cloud computing optimization.</w:t>
      </w:r>
    </w:p>
    <w:sectPr w:rsidR="00FC693F" w:rsidRPr="0006063C" w:rsidSect="00034616">
      <w:pgSz w:w="12240" w:h="15840"/>
      <w:pgMar w:top="1296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