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line="360" w:lineRule="auto"/>
        <w:jc w:val="center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广告服务合同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甲方（委托方/广告主）：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上海星禾品牌管理有限公司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上海市浦东新区陆家嘴环路1000号18层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021-68886666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乙方（服务方/广告服务提供方）：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住所地：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北京市朝阳区望京东路1号15层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联系人：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联系电话：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010-58660088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根据《中华人民共和国民法典》《中华人民共和国广告法》及相关法律法规，甲、乙双方在平等、自愿、诚实信用的基础上，就乙方向甲方提供广告服务事宜达成如下协议。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第一条 服务内容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乙方接受甲方委托，提供广告策划、创意设计、文案撰写、素材制作、媒介投放、数据监测、投放优化及结案报告等服务。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本项目主要投放平台包括但不限于：微信、抖音、小红书、微博、百度信息流及双方书面确认的其他平台。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广告发布形式包括图文广告、短视频广告、信息流广告、搜索推广、达人合作内容及其他双方确认的广告形式。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具体服务范围、投放平台、媒介渠道、发布形式、投放周期、预算安排及交付要求，以本合同附件、排期表、报价单或双方书面确认文件为准。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未经甲方书面确认，乙方不得擅自变更广告内容、投放时间、投放渠道、预算分配或其他主要执行安排。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第二条 服务期限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本合同服务期限自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起至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2026年9月30日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止。期限届满后，双方可另行协商续签或补充约定。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本项目首轮广告投放周期暂定为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天，具体以双方确认的投放排期表为准。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第三条 双方权利义务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甲方应向乙方提供真实、准确、完整的品牌资料、产品信息、资质文件、授权文件、素材文件及其他必要资料，并保证上述资料不侵犯第三方合法权益。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甲方应于合同生效后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个工作日内向乙方提供项目所需资料。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甲方有权对广告服务方案、广告内容、投放计划、预算使用及执行进度进行审核、确认和监督，并应按约及时支付相关费用。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乙方应按照甲方确认的服务范围、投放计划和预算安排提供服务，及时报告项目进展、费用使用和投放效果。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乙方应每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个工作日向甲方提交一次阶段性投放数据或项目进度报告。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6. 乙方应对广告内容进行必要的形式审查和合规提示，发现违法、违规或侵权风险的，应及时向甲方提出修改建议。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7. 未经甲方书面同意，乙方不得将本合同项下主要服务事项转委托给第三方。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第四条 服务费用及付款方式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本合同费用包括广告服务费、广告制作费、媒介投放费、第三方采购费及双方确认的其他费用。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合同总金额为人民币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120000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元（大写：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壹拾贰万元整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）。如媒介投放费用以平台结算或第三方账单为准，双方以书面确认的结算文件作为付款依据。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甲方付款安排如下：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首期款人民币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36000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元，于合同生效后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进度款人民币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60000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2026年8月15日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支付；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尾款人民币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24000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元，于服务成果验收或结算确认后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个工作日内支付。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如甲方需调整广告预算，应至少提前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个工作日书面通知乙方，并经双方确认后执行。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5. 乙方收款账户：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户名：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北京云帆数字传媒有限公司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账号：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110102030405060708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开户行：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招商银行北京望京支行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6. 乙方应按甲方要求提供合法有效的发票，发票类型为：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增值税专用发票（税率6%）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第五条 验收与结算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乙方完成约定服务并提交成果、投放数据、费用明细及结案材料后，甲方应在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个工作日内进行验收或提出书面修改意见。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验收标准包括：服务内容符合双方确认的方案或排期；广告素材已按确认稿完成；投放数据、平台记录或第三方证明能够反映实际执行情况；结案报告内容完整。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乙方应提交的结案材料包括：投放数据报告、费用明细、广告截图或链接、平台后台数据证明及其他双方确认的材料。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甲方认为成果不符合约定的，乙方应在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个工作日内修改、补充或说明；经修改后仍不符合约定的，甲方有权要求继续整改、减少相应费用或追究违约责任。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第六条 知识产权、合规与保密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甲方提供的品牌、商标、标识、图片、文字、音视频、数据及其他素材，其权利归甲方或相应权利人所有。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乙方为履行本合同形成的广告成果，在甲方付清相应费用后按双方约定由甲方使用；涉及乙方通用方法、模板、工具、经验或第三方授权素材的，相关权利仍归原权利人所有。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双方应遵守广告法律法规、平台规则及行业规范。甲方对其提供资料及广告基础信息的真实性、合法性和完整性负责；乙方应结合专业能力提供必要合规建议。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双方对履约过程中知悉的商业秘密、客户信息、账户信息、广告数据、价格政策、投放策略及其他未公开信息负有保密义务，未经对方书面同意不得向第三方披露或用于本合同目的之外。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第七条 违约责任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甲方逾期支付费用的，每逾期一日，应按逾期未付款金额的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万分之五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向乙方支付违约金；逾期超过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15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日的，乙方有权暂停服务或解除合同。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乙方未按约定时间、范围或质量要求提供服务，经甲方书面催告后仍未在合理期限内改正的，甲方有权要求乙方继续履行、采取补救措施、减少费用或赔偿损失。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任一方违反保密、知识产权、合规或其他合同义务，给对方造成损失的，应承担相应赔偿责任。因一方提供资料不真实、不合法、不完整或未经授权使用第三方内容导致纠纷、处罚、投诉、下架、账号受限或索赔的，由责任方承担责任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第八条 合同变更、解除与不可抗力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本合同履行过程中，如需调整服务内容、预算、交付周期、媒介渠道、结算方式或其他重要事项，双方应协商一致并以书面形式确认。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任何一方严重违约，且经守约方书面催告后仍未在合理期限内改正的，守约方有权解除合同并要求违约方承担责任。合同解除或终止后，双方应根据已实际完成服务、已发生费用及过错情况进行结算。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因不可抗力导致不能履行或不能完全履行合同的，受影响方应及时通知对方并在合理期限内提供证明。双方可协商延期履行、部分履行、变更合同或解除合同。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第九条 通知与争议解决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双方在本合同中载明的联系地址、联系电话、电子邮箱为合同履行及争议解决的有效联系方式和送达地址。联系方式变更的，应在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3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日内书面通知对方；未及时通知的，按原地址或方式送达视为有效送达。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本合同的订立、生效、解释、履行、变更、终止及争议解决均适用中华人民共和国法律。双方因本合同产生争议的，应先协商解决；协商不成的，可向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北京市朝阳区人民法院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提起诉讼，或向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北京仲裁委员会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申请仲裁，以双方最终书面约定为准。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n"/>
          <w:i w:val="off"/>
          <w:u w:val="none"/>
          <w:strike w:val="off"/>
          <w:rFonts w:ascii="FangSong" w:hAnsi="FangSong" w:cs="FangSong" w:eastAsia="FangSong"/>
          <w:sz w:val="28"/>
        </w:rPr>
        <w:t>第十条 附则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1. 本合同自甲、乙双方签名或盖章之日起成立并生效。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2. 本合同附件、排期表、报价单、确认单、验收单、结算单及双方书面确认的其他文件为本合同组成部分，与本合同具有同等法律效力。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3. 本合同一式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4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份，甲方执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份，乙方执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份，具有同等法律效力。</w:t>
      </w:r>
    </w:p>
    <w:p>
      <w:pPr>
        <w:spacing w:line="360" w:lineRule="auto"/>
        <w:ind w:firstLine="560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4. 其他约定：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本合同附件包括《广告投放排期表》《报价单》《验收确认单》，与本合同具有同等法律效力。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甲方负责人（或授权代表）         乙方负责人（或授权代表）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李明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        签名：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王悦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（盖章）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 </w:t>
      </w:r>
      <w:r>
        <w:br/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
</w:t>
      </w:r>
    </w:p>
    <w:p>
      <w:pPr>
        <w:spacing w:line="360" w:lineRule="auto"/>
        <w:jc w:val="left"/>
      </w:pP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>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  <w:r>
        <w:rPr>
          <w:b w:val="off"/>
          <w:i w:val="off"/>
          <w:u w:val="none"/>
          <w:strike w:val="off"/>
          <w:rFonts w:ascii="FangSong" w:hAnsi="FangSong" w:cs="FangSong" w:eastAsia="FangSong"/>
          <w:sz w:val="28"/>
        </w:rPr>
        <w:t xml:space="preserve">         签署日期：</w:t>
      </w:r>
      <w:r>
        <w:rPr>
          <w:b w:val="off"/>
          <w:i w:val="off"/>
          <w:u w:val="single"/>
          <w:strike w:val="off"/>
          <w:rFonts w:ascii="FangSong" w:hAnsi="FangSong" w:cs="FangSong" w:eastAsia="FangSong"/>
          <w:sz w:val="28"/>
        </w:rPr>
        <w:t>2026年7月1日</w:t>
      </w:r>
    </w:p>
    <w:sectPr>
      <w:pgSz w:w="11906" w:h="16838"/>
      <w:pgMar w:top="1440" w:bottom="1440" w:left="1803" w:right="1803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2026-06-23T11:15:21Z</dcterms:created>
  <dc:creator>Apache POI</dc:creator>
</cp:coreProperties>
</file>