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line="360" w:lineRule="auto" w:after="240"/>
        <w:jc w:val="center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36"/>
        </w:rPr>
        <w:t>合同风险审查报告</w:t>
      </w:r>
    </w:p>
    <w:p>
      <w:pPr>
        <w:spacing w:line="360" w:lineRule="auto" w:before="160" w:after="100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一、报告概览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报告编号</w:t>
            </w:r>
          </w:p>
        </w:tc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RISK-V2-20260623174742</w:t>
            </w:r>
          </w:p>
        </w:tc>
      </w:tr>
      <w:tr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关联草稿版本</w:t>
            </w:r>
          </w:p>
        </w:tc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#40</w:t>
            </w:r>
          </w:p>
        </w:tc>
      </w:tr>
      <w:tr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合同类型</w:t>
            </w:r>
          </w:p>
        </w:tc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/>
            </w:r>
          </w:p>
        </w:tc>
      </w:tr>
      <w:tr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甲方</w:t>
            </w:r>
          </w:p>
        </w:tc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（委托方/广告主）：____________________________ 住所地：____________________________</w:t>
            </w:r>
          </w:p>
        </w:tc>
      </w:tr>
      <w:tr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乙方</w:t>
            </w:r>
          </w:p>
        </w:tc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上海顺通达物流有限公司</w:t>
            </w:r>
          </w:p>
        </w:tc>
      </w:tr>
      <w:tr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业务范围</w:t>
            </w:r>
          </w:p>
        </w:tc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test</w:t>
            </w:r>
          </w:p>
        </w:tc>
      </w:tr>
      <w:tr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最高风险等级</w:t>
            </w:r>
          </w:p>
        </w:tc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高风险</w:t>
            </w:r>
          </w:p>
        </w:tc>
      </w:tr>
      <w:tr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风险总数</w:t>
            </w:r>
          </w:p>
        </w:tc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5</w:t>
            </w:r>
          </w:p>
        </w:tc>
      </w:tr>
      <w:tr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高 / 中 / 低风险</w:t>
            </w:r>
          </w:p>
        </w:tc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3 / 2 / 0</w:t>
            </w:r>
          </w:p>
        </w:tc>
      </w:tr>
      <w:tr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摘要</w:t>
            </w:r>
          </w:p>
        </w:tc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风险审查完成，共发现 5 项风险，其中高风险 3 项、中风险 2 项、低风险 0 项。</w:t>
            </w:r>
          </w:p>
        </w:tc>
      </w:tr>
      <w:tr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模型</w:t>
            </w:r>
          </w:p>
        </w:tc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Qwen</w:t>
            </w:r>
          </w:p>
        </w:tc>
      </w:tr>
      <w:tr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审查人</w:t>
            </w:r>
          </w:p>
        </w:tc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admin</w:t>
            </w:r>
          </w:p>
        </w:tc>
      </w:tr>
      <w:tr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生成时间</w:t>
            </w:r>
          </w:p>
        </w:tc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2026-06-23 17:47:42</w:t>
            </w:r>
          </w:p>
        </w:tc>
      </w:tr>
    </w:tbl>
    <w:p>
      <w:pPr>
        <w:spacing w:line="360" w:lineRule="auto" w:before="160" w:after="100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二、风险修改建议</w:t>
      </w:r>
    </w:p>
    <w:p>
      <w:pPr>
        <w:spacing w:line="360" w:lineRule="auto" w:before="160" w:after="100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1. 高风险 - 主体信息风险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风险原文：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甲方/乙方主体信息栏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风险原因：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合同中甲方、乙方名称、住所地、联系人、联系电话等关键主体信息全部为空白，未填写任何实际信息，导致签约主体不明确，无法识别缔约方，存在重大签约效力与履约主体风险。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建议修改：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须在签署前完整填写甲乙双方全称、统一社会信用代码（或营业执照号）、法定代表人/授权代表、详细住所地址、有效联系电话及电子邮箱；建议增加‘授权代表签字需附授权书’条款。</w:t>
      </w:r>
    </w:p>
    <w:p>
      <w:pPr>
        <w:spacing w:line="360" w:lineRule="auto" w:before="160" w:after="100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2. 高风险 - 付款风险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风险原文：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第四条第2、3款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风险原因：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合同总金额、各期付款金额、付款时间节点（如‘合同生效后__个工作日内’‘__年__月__日’）均为空白；未约定发票类型及开票时间；付款条件缺乏明确触发依据（如‘验收或结算确认’未定义标准与时限），极易引发付款争议。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建议修改：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必须填写具体金额（大小写一致）、明确各期付款的绝对日期或相对期限（如‘合同生效后5个工作日内’），并定义‘验收/结算确认’的操作流程与时限（如‘甲方收到结案材料后10个工作日内书面确认’）；明确发票类型（增值税专用/普通）、开票时点（如‘首期款支付前’）及税负承担方。</w:t>
      </w:r>
    </w:p>
    <w:p>
      <w:pPr>
        <w:spacing w:line="360" w:lineRule="auto" w:before="160" w:after="100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3. 中风险 - 期限风险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风险原文：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第二条服务期限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风险原因：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服务起止日期为空白；‘首轮广告投放周期暂定为__天’未填写具体天数；‘以双方确认的投放排期表为准’未约定排期表最迟提交/确认时限，导致履行起始时间不确定，影响履约监管与违约认定。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建议修改：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填写明确的起止日期（年/月/日）；补充首轮投放周期具体天数；增加‘乙方应于合同生效后3个工作日内提交首份投放排期表，甲方应在2个工作日内书面确认，逾期未确认视为认可’等时限约束条款。</w:t>
      </w:r>
    </w:p>
    <w:p>
      <w:pPr>
        <w:spacing w:line="360" w:lineRule="auto" w:before="160" w:after="100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4. 中风险 - 违约风险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风险原文：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第七条第1、2款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风险原因：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违约金比例（‘每逾期一日按______’）和解约宽限期（‘逾期超过______日’）为空白；乙方违约整改‘合理期限’未量化（如工作日天数），导致违约责任尺度模糊，缺乏可执行性。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建议修改：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填写明确违约金比例（建议不超LPR四倍）及解约宽限期（如‘15日’）；将‘合理期限’改为具体时限（如‘收到书面催告后5个工作日内’）；建议补充甲方单方解约情形下乙方已发生成本的结算机制。</w:t>
      </w:r>
    </w:p>
    <w:p>
      <w:pPr>
        <w:spacing w:line="360" w:lineRule="auto" w:before="160" w:after="100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5. 高风险 - 争议解决风险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风险原文：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第九条第2款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风险原因：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争议解决方式（诉讼或仲裁）及管辖机构（法院名称/仲裁委员会名称）均为空白，未作选择亦未约定‘以最终书面约定为准’的操作路径，导致争议发生时管辖不明，可能引发管辖权争议并拖延解决。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建议修改：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必须二选一并填写完整：若选诉讼，明确‘甲方所在地’或‘乙方所在地’有管辖权的基层人民法院（如‘北京市朝阳区人民法院’）；若选仲裁，填写全国性或地方仲裁委全称（如‘北京仲裁委员会’），并删除‘以双方最终书面约定为准’等无效兜底表述。</w:t>
      </w:r>
    </w:p>
    <w:sectPr>
      <w:pgSz w:w="11906" w:h="16838"/>
      <w:pgMar w:top="1440" w:bottom="1440" w:left="1803" w:right="1803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2026-06-23T09:47:42Z</dcterms:created>
  <dc:creator>Apache POI</dc:creator>
</cp:coreProperties>
</file>