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599"/>
        <w:ind w:left="0" w:right="0"/>
        <w:jc w:val="center"/>
        <w:keepLines w:val="false"/>
        <w:keepNext w:val="false"/>
        <w:pageBreakBefore w:val="false"/>
        <w:spacing w:after="0" w:afterAutospacing="0" w:before="150" w:beforeAutospacing="0"/>
        <w:widowControl/>
        <w:rPr>
          <w:rFonts w:ascii="黑体" w:hAnsi="黑体" w:cs="黑体" w:eastAsia="黑体" w:hint="eastAsia"/>
          <w:color w:val="333333"/>
          <w:sz w:val="44"/>
          <w:szCs w:val="4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/>
      <w:bookmarkStart w:id="0" w:name="_GoBack"/>
      <w:r/>
      <w:bookmarkEnd w:id="0"/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44"/>
          <w:szCs w:val="44"/>
          <w:shd w:val="clear" w:color="FFFFFF"/>
          <w:lang w:val="en-US" w:eastAsia="zh-CN"/>
        </w:rPr>
        <w:t xml:space="preserve">员工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44"/>
          <w:szCs w:val="44"/>
          <w:shd w:val="clear" w:color="FFFFFF"/>
        </w:rPr>
        <w:t xml:space="preserve">试用期合同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微软雅黑" w:hAnsi="微软雅黑" w:cs="微软雅黑" w:eastAsia="微软雅黑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微软雅黑" w:hAnsi="微软雅黑" w:cs="微软雅黑" w:eastAsia="微软雅黑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</w:t>
      </w:r>
      <w:r/>
    </w:p>
    <w:p>
      <w:pPr>
        <w:pStyle w:val="602"/>
        <w:ind w:left="0" w:right="0" w:firstLine="48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甲方（聘用方）：________________________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乙方（受聘方）：________________________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身份证号：____________________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甲方聘用乙方为试用期员工，试用期_______个月，自_________年_____月______日起至_______年_____月_____日止。经双方平等协商，现就试用期间的有关事项订立以下条款，以共同遵守。（试用期最长不超过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6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个月）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一、乙方的岗位（工种）为：_______________________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在试用期间，根据工作需要和乙方能力，甲方有权对乙方的工作岗位进行调整。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二、在试用期间，乙方应保守甲方的商业秘密，严格遵守劳动纪律和甲方的各项治理规定及制度，并根据甲方工作安排，认真履行职责，维护甲方合法权益。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三、乙方试用期工资为_________元/月，甲方按月发放。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四、乙方在试用期内，考勤均由甲方按实际出勤状况和公司考勤制度执行。试用期劳动合同五、乙方在试用期内，公司的福利待遇均已包含在试用期工资内。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六、乙方每月工资由甲方自上班之日起的次月1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5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日左右发放，若乙方工作不足一个月时，按月工资比例折合实际工作天数计算。若工资发放日恰逢周日或假日，甲方结合公司实际情况逐日顺延发放。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七、在试用期内，乙方提出解除本合同时，须提前七个工作日通知甲方，协商解决，否则，将根据公司制度，由公司按制度论处。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八、在试用期内，甲方如认为乙方不能胜任工作或发现乙方应聘材料弄虚作假，不符合录用条件的，可随时停止试用并予以解雇，工资按乙方实际考勤，依据公司制度及本合同相关内容（条款）结算。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九、在试用期内，乙方严重违反劳动纪律或者甲方的治理规章制度的；或者故意或严重失职，给甲方利益造成损害的，甲方有权立即终止试用并予以解雇。乙方应对甲方造成的损失予以全额的赔偿责任。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十、在试用期内，因乙方泄露甲方商业秘密，给甲方造成经济损失；或因乙方的故意或重大过失行为给甲方造成经济损失的，甲方有权向乙方进行追偿。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十一、试用期满或试用期内工作突出并经考核合格者，将在当月内与公司签订正式 劳动合同。考核不合格者，公司根据实际情况将予以解雇。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十二、乙方声明，乙方在签署本合同时，已知晓甲方的制度并愿意遵守各项事宜。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十三、本合同经双方签字后起生效。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十四、未尽事宜，甲、乙双方协商解决。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   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</w:r>
      <w:r/>
    </w:p>
    <w:p>
      <w:pPr>
        <w:pStyle w:val="602"/>
        <w:ind w:left="0" w:right="0" w:firstLine="96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甲方：（公章）　　　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           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     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乙方：（签字）</w:t>
      </w:r>
      <w:r/>
    </w:p>
    <w:p>
      <w:pPr>
        <w:pStyle w:val="602"/>
        <w:ind w:left="0" w:right="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　　</w:t>
      </w:r>
      <w:r/>
    </w:p>
    <w:p>
      <w:pPr>
        <w:pStyle w:val="602"/>
        <w:ind w:left="0" w:right="0" w:firstLine="960"/>
        <w:keepLines w:val="false"/>
        <w:keepNext w:val="false"/>
        <w:pageBreakBefore w:val="false"/>
        <w:spacing w:lineRule="atLeast" w:line="450" w:after="0" w:afterAutospacing="0" w:before="150" w:beforeAutospacing="0"/>
        <w:widowControl/>
        <w:rPr>
          <w:rFonts w:ascii="黑体" w:hAnsi="黑体" w:cs="黑体" w:eastAsia="黑体" w:hint="eastAsia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  <w:suppressLineNumbers w:val="0"/>
      </w:pP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日期：__________________　　　　　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  <w:lang w:val="en-US" w:eastAsia="zh-CN"/>
        </w:rPr>
        <w:t xml:space="preserve">    </w:t>
      </w:r>
      <w:r>
        <w:rPr>
          <w:rFonts w:ascii="黑体" w:hAnsi="黑体" w:cs="黑体" w:eastAsia="黑体" w:hint="eastAsia"/>
          <w:i w:val="false"/>
          <w:caps w:val="false"/>
          <w:color w:val="333333"/>
          <w:spacing w:val="0"/>
          <w:sz w:val="24"/>
          <w:szCs w:val="24"/>
          <w:shd w:val="clear" w:color="FFFFFF"/>
        </w:rPr>
        <w:t xml:space="preserve">日期：__________________</w:t>
      </w:r>
      <w:r/>
    </w:p>
    <w:p>
      <w:pPr>
        <w:rPr>
          <w:rFonts w:ascii="黑体" w:hAnsi="黑体" w:cs="黑体" w:eastAsia="黑体" w:hint="eastAsia"/>
        </w:rPr>
      </w:pPr>
      <w:r>
        <w:rPr>
          <w:rFonts w:ascii="黑体" w:hAnsi="黑体" w:cs="黑体" w:eastAsia="黑体" w:hint="eastAsia"/>
        </w:rPr>
      </w:r>
      <w:r/>
    </w:p>
    <w:sectPr>
      <w:footnotePr/>
      <w:endnotePr/>
      <w:type w:val="nextPage"/>
      <w:pgSz w:w="11850" w:h="16783" w:orient="portrait"/>
      <w:pgMar w:top="1440" w:right="1800" w:bottom="1440" w:left="1800" w:header="851" w:footer="992" w:gutter="0"/>
      <w:cols w:num="1" w:sep="0" w:space="425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10609060101010101"/>
  </w:font>
  <w:font w:name="黑体">
    <w:panose1 w:val="02010609060101010101"/>
  </w:font>
  <w:font w:name="Arial">
    <w:panose1 w:val="02010609060101010101"/>
  </w:font>
  <w:font w:name="宋体">
    <w:panose1 w:val="02010609060101010101"/>
  </w:font>
  <w:font w:name="Times New Roman">
    <w:panose1 w:val="02010609060101010101"/>
  </w:font>
  <w:font w:name="Calibri">
    <w:panose1 w:val="02010609060101010101"/>
  </w:font>
  <w:font w:name="Cambria">
    <w:panose1 w:val="02010609060101010101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4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宋体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600"/>
    <w:link w:val="1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0"/>
    <w:link w:val="599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600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600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600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600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600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600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600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598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600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600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color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0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0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/>
      </w:tcPr>
    </w:tblStylePr>
    <w:tblStylePr w:type="band1Vert">
      <w:tcPr>
        <w:shd w:val="clear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/>
    </w:tblPr>
    <w:tblStylePr w:type="band1Horz">
      <w:tcPr>
        <w:shd w:val="clear" w:color="FFFFFF" w:themeFill="text1" w:themeFillTint="75"/>
      </w:tcPr>
    </w:tblStylePr>
    <w:tblStylePr w:type="band1Vert">
      <w:tcPr>
        <w:shd w:val="clear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/>
    </w:tblPr>
    <w:tblStylePr w:type="band1Horz">
      <w:tcPr>
        <w:shd w:val="clear" w:color="FFFFFF" w:themeFill="accent1" w:themeFillTint="75"/>
      </w:tcPr>
    </w:tblStylePr>
    <w:tblStylePr w:type="band1Vert">
      <w:tcPr>
        <w:shd w:val="clear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/>
    </w:tblPr>
    <w:tblStylePr w:type="band1Horz">
      <w:tcPr>
        <w:shd w:val="clear" w:color="FFFFFF" w:themeFill="accent2" w:themeFillTint="75"/>
      </w:tcPr>
    </w:tblStylePr>
    <w:tblStylePr w:type="band1Vert">
      <w:tcPr>
        <w:shd w:val="clear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/>
    </w:tblPr>
    <w:tblStylePr w:type="band1Horz">
      <w:tcPr>
        <w:shd w:val="clear" w:color="FFFFFF" w:themeFill="accent3" w:themeFillTint="75"/>
      </w:tcPr>
    </w:tblStylePr>
    <w:tblStylePr w:type="band1Vert">
      <w:tcPr>
        <w:shd w:val="clear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/>
    </w:tblPr>
    <w:tblStylePr w:type="band1Horz">
      <w:tcPr>
        <w:shd w:val="clear" w:color="FFFFFF" w:themeFill="accent4" w:themeFillTint="75"/>
      </w:tcPr>
    </w:tblStylePr>
    <w:tblStylePr w:type="band1Vert">
      <w:tcPr>
        <w:shd w:val="clear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/>
    </w:tblPr>
    <w:tblStylePr w:type="band1Horz">
      <w:tcPr>
        <w:shd w:val="clear" w:color="FFFFFF" w:themeFill="accent5" w:themeFillTint="75"/>
      </w:tcPr>
    </w:tblStylePr>
    <w:tblStylePr w:type="band1Vert">
      <w:tcPr>
        <w:shd w:val="clear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/>
    </w:tblPr>
    <w:tblStylePr w:type="band1Horz">
      <w:tcPr>
        <w:shd w:val="clear" w:color="FFFFFF" w:themeFill="accent6" w:themeFillTint="75"/>
      </w:tcPr>
    </w:tblStylePr>
    <w:tblStylePr w:type="band1Vert">
      <w:tcPr>
        <w:shd w:val="clear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/>
      </w:tcPr>
    </w:tblStylePr>
    <w:tblStylePr w:type="band1Vert">
      <w:tcPr>
        <w:shd w:val="clear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/>
      </w:tcPr>
    </w:tblStylePr>
    <w:tblStylePr w:type="band1Vert">
      <w:tcPr>
        <w:shd w:val="clear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/>
      </w:tcPr>
    </w:tblStylePr>
    <w:tblStylePr w:type="band1Vert">
      <w:tcPr>
        <w:shd w:val="clear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/>
      </w:tcPr>
    </w:tblStylePr>
    <w:tblStylePr w:type="band1Vert">
      <w:tcPr>
        <w:shd w:val="clear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/>
      </w:tcPr>
    </w:tblStylePr>
    <w:tblStylePr w:type="band1Vert">
      <w:tcPr>
        <w:shd w:val="clear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/>
      </w:tcPr>
    </w:tblStylePr>
    <w:tblStylePr w:type="band1Vert">
      <w:tcPr>
        <w:shd w:val="clear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/>
      </w:tcPr>
    </w:tblStylePr>
    <w:tblStylePr w:type="band1Vert">
      <w:tcPr>
        <w:shd w:val="clear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/>
      </w:tcPr>
    </w:tblStylePr>
    <w:tblStylePr w:type="band1Vert">
      <w:tcPr>
        <w:shd w:val="clear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/>
      </w:tcPr>
    </w:tblStylePr>
    <w:tblStylePr w:type="band1Vert">
      <w:tcPr>
        <w:shd w:val="clear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/>
      </w:tcPr>
    </w:tblStylePr>
    <w:tblStylePr w:type="band1Vert">
      <w:tcPr>
        <w:shd w:val="clear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/>
      </w:tcPr>
    </w:tblStylePr>
    <w:tblStylePr w:type="band1Vert">
      <w:tcPr>
        <w:shd w:val="clear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/>
      </w:tcPr>
    </w:tblStylePr>
    <w:tblStylePr w:type="band1Vert">
      <w:tcPr>
        <w:shd w:val="clear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/>
      </w:tcPr>
    </w:tblStylePr>
    <w:tblStylePr w:type="band1Vert">
      <w:tcPr>
        <w:shd w:val="clear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/>
      </w:tcPr>
    </w:tblStylePr>
    <w:tblStylePr w:type="band1Vert">
      <w:tcPr>
        <w:shd w:val="clear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/>
    </w:tblPr>
    <w:tblStylePr w:type="band1Horz">
      <w:tcPr>
        <w:shd w:val="clear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/>
    </w:tblPr>
    <w:tblStylePr w:type="band1Horz">
      <w:tcPr>
        <w:shd w:val="clear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/>
    </w:tblPr>
    <w:tblStylePr w:type="band1Horz">
      <w:tcPr>
        <w:shd w:val="clear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/>
    </w:tblPr>
    <w:tblStylePr w:type="band1Horz">
      <w:tcPr>
        <w:shd w:val="clear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/>
    </w:tblPr>
    <w:tblStylePr w:type="band1Horz">
      <w:tcPr>
        <w:shd w:val="clear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/>
    </w:tblPr>
    <w:tblStylePr w:type="band1Horz">
      <w:tcPr>
        <w:shd w:val="clear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/>
    </w:tblPr>
    <w:tblStylePr w:type="band1Horz">
      <w:tcPr>
        <w:shd w:val="clear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</w:style>
  <w:style w:type="table" w:styleId="152">
    <w:name w:val="Lined - Accent 1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</w:style>
  <w:style w:type="table" w:styleId="153">
    <w:name w:val="Lined - Accent 2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</w:style>
  <w:style w:type="table" w:styleId="154">
    <w:name w:val="Lined - Accent 3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</w:style>
  <w:style w:type="table" w:styleId="155">
    <w:name w:val="Lined - Accent 4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</w:style>
  <w:style w:type="table" w:styleId="156">
    <w:name w:val="Lined - Accent 5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/>
      </w:tcPr>
    </w:tblStylePr>
  </w:style>
  <w:style w:type="table" w:styleId="157">
    <w:name w:val="Lined - Accent 6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/>
      </w:tcPr>
    </w:tblStylePr>
  </w:style>
  <w:style w:type="table" w:styleId="158">
    <w:name w:val="Bordered &amp; Lined - Accent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</w:style>
  <w:style w:type="table" w:styleId="159">
    <w:name w:val="Bordered &amp; Lined - Accent 1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</w:style>
  <w:style w:type="table" w:styleId="160">
    <w:name w:val="Bordered &amp; Lined - Accent 2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</w:style>
  <w:style w:type="table" w:styleId="161">
    <w:name w:val="Bordered &amp; Lined - Accent 3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</w:style>
  <w:style w:type="table" w:styleId="162">
    <w:name w:val="Bordered &amp; Lined - Accent 4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</w:style>
  <w:style w:type="table" w:styleId="163">
    <w:name w:val="Bordered &amp; Lined - Accent 5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/>
      </w:tcPr>
    </w:tblStylePr>
  </w:style>
  <w:style w:type="table" w:styleId="164">
    <w:name w:val="Bordered &amp; Lined - Accent 6"/>
    <w:basedOn w:val="60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/>
      </w:tcPr>
    </w:tblStylePr>
  </w:style>
  <w:style w:type="table" w:styleId="165">
    <w:name w:val="Bordered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0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0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  <w:uiPriority w:val="0"/>
    <w:rPr>
      <w:rFonts w:asciiTheme="minorHAnsi" w:hAnsiTheme="minorHAnsi" w:eastAsiaTheme="minorEastAsia" w:cstheme="minorBidi"/>
      <w:sz w:val="21"/>
      <w:szCs w:val="24"/>
      <w:lang w:val="en-US" w:bidi="ar-SA" w:eastAsia="zh-CN"/>
    </w:rPr>
    <w:pPr>
      <w:jc w:val="both"/>
      <w:widowControl w:val="off"/>
    </w:pPr>
  </w:style>
  <w:style w:type="paragraph" w:styleId="599">
    <w:name w:val="Heading 2"/>
    <w:basedOn w:val="598"/>
    <w:next w:val="598"/>
    <w:qFormat/>
    <w:uiPriority w:val="0"/>
    <w:semiHidden/>
    <w:unhideWhenUsed/>
    <w:rPr>
      <w:rFonts w:ascii="宋体" w:hAnsi="宋体" w:cs="宋体" w:eastAsia="宋体" w:hint="eastAsia"/>
      <w:b/>
      <w:sz w:val="36"/>
      <w:szCs w:val="36"/>
      <w:lang w:val="en-US" w:bidi="ar" w:eastAsia="zh-CN"/>
    </w:rPr>
    <w:pPr>
      <w:jc w:val="left"/>
      <w:spacing w:after="0" w:afterAutospacing="1" w:before="0" w:beforeAutospacing="1"/>
    </w:pPr>
  </w:style>
  <w:style w:type="character" w:styleId="600" w:default="1">
    <w:name w:val="Default Paragraph Font"/>
    <w:uiPriority w:val="0"/>
    <w:semiHidden/>
  </w:style>
  <w:style w:type="table" w:styleId="601" w:default="1">
    <w:name w:val="Normal Table"/>
    <w:qFormat/>
    <w:uiPriority w:val="0"/>
    <w:semiHidden/>
    <w:tblPr>
      <w:tblCellMar>
        <w:left w:w="108" w:type="dxa"/>
        <w:top w:w="0" w:type="dxa"/>
        <w:right w:w="108" w:type="dxa"/>
        <w:bottom w:w="0" w:type="dxa"/>
      </w:tblCellMar>
    </w:tblPr>
  </w:style>
  <w:style w:type="paragraph" w:styleId="602">
    <w:name w:val="Normal (Web)"/>
    <w:basedOn w:val="598"/>
    <w:qFormat/>
    <w:uiPriority w:val="0"/>
    <w:rPr>
      <w:sz w:val="24"/>
      <w:lang w:val="en-US" w:bidi="ar" w:eastAsia="zh-CN"/>
    </w:rPr>
    <w:pPr>
      <w:ind w:left="0" w:right="0"/>
      <w:jc w:val="left"/>
      <w:spacing w:after="0" w:afterAutospacing="1" w:before="0" w:beforeAutospacing="1"/>
    </w:pPr>
  </w:style>
  <w:style w:type="numbering" w:styleId="73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ONLYOFFICE/6.3.0.111</Application>
  <DocSecurity>0</DocSecurity>
  <LinksUpToDate>false</LinksUpToDate>
  <ScaleCrop>false</ScaleCrop>
  <Template>实习员工试用期合同.docx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解小豆</dc:creator>
  <cp:lastModifiedBy>李佳鑫</cp:lastModifiedBy>
  <cp:revision>2</cp:revision>
  <dcterms:created xsi:type="dcterms:W3CDTF">2022-04-21T10:08:00Z</dcterms:created>
  <dcterms:modified xsi:type="dcterms:W3CDTF">2022-05-23T06:24:53Z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TemplateUUID">
    <vt:lpwstr>v1.0_mb_q1Xu5S92f0Jk4fst4d3FHQ==</vt:lpwstr>
  </property>
  <property fmtid="{D5CDD505-2E9C-101B-9397-08002B2CF9AE}" pid="4" name="ICV">
    <vt:lpwstr>E981F1346EC14F6B87429F63F28E2145</vt:lpwstr>
  </property>
</Properties>
</file>