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05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36"/>
          <w:szCs w:val="44"/>
        </w:rPr>
      </w:pPr>
      <w:r>
        <w:rPr>
          <w:rFonts w:hint="eastAsia" w:ascii="仿宋" w:hAnsi="仿宋" w:eastAsia="仿宋" w:cs="仿宋"/>
          <w:sz w:val="36"/>
          <w:szCs w:val="44"/>
        </w:rPr>
        <w:t>软件技术服务合同</w:t>
      </w:r>
    </w:p>
    <w:p w14:paraId="6070C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1588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委托方：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，以下简称甲方。</w:t>
      </w:r>
    </w:p>
    <w:p w14:paraId="23A46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法定代表人或负责人：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2107E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联系地址：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22D25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联系电话：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26ED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374E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服务方：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，以下简称乙方。</w:t>
      </w:r>
    </w:p>
    <w:p w14:paraId="51DF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法定代表人或负责人：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47528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联系地址：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29EF8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联系电话：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10F14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3BF34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根据《中华人民共和国民法典》及有关法律法规，甲乙双方本着平等自愿、诚实信用、互利合作的原则，就甲方委托乙方提供软件技术服务事宜，订立本合同，以资共同遵守。</w:t>
      </w:r>
    </w:p>
    <w:p w14:paraId="49E5B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737D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第一条　项目名称</w:t>
      </w:r>
    </w:p>
    <w:p w14:paraId="6BB22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本合同项目名称为：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12F22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2ABE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第二条　服务内容和要求</w:t>
      </w:r>
    </w:p>
    <w:p w14:paraId="7F5CD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乙方向甲方提供的软件技术服务内容为：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4B6D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服务方式为：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4F8FD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服务要求为：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23231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乙方应按照本合同约定的服务内容、服务期限、技术指标和质量要求完成技术服务工作。</w:t>
      </w:r>
    </w:p>
    <w:p w14:paraId="5A50E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2A75A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第三条　服务期限和工作条件</w:t>
      </w:r>
    </w:p>
    <w:p w14:paraId="37BE9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乙方应于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年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月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日前完成本合同约定的软件技术服务工作。</w:t>
      </w:r>
    </w:p>
    <w:p w14:paraId="6015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甲方应在本合同生效后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日内，向乙方提供完成服务所需的技术资料、数据、材料、系统环境、账号权限及其他必要条件。</w:t>
      </w:r>
    </w:p>
    <w:p w14:paraId="14FC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甲方提供的资料、数据和工作条件应真实、准确、完整。如甲方提供资料不完整或未及时提供协助，导致服务延误的，乙方不承担由此产生的延期责任。</w:t>
      </w:r>
    </w:p>
    <w:p w14:paraId="54D58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乙方发现甲方提供的资料、数据或工作条件不符合合同约定的，应及时通知甲方补充、改进或更换。</w:t>
      </w:r>
    </w:p>
    <w:p w14:paraId="1A066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3329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第四条　服务费用及支付方式</w:t>
      </w:r>
    </w:p>
    <w:p w14:paraId="2E5AB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本合同服务费用总额为人民币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36"/>
        </w:rPr>
        <w:t>元，大写：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57DF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服务过程中发生的必要技术费用由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36"/>
        </w:rPr>
        <w:t>方承担。</w:t>
      </w:r>
    </w:p>
    <w:p w14:paraId="62FED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甲方按照以下方式向乙方支付服务费用：</w:t>
      </w:r>
    </w:p>
    <w:p w14:paraId="35A3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（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36"/>
        </w:rPr>
        <w:t>）</w:t>
      </w:r>
      <w:r>
        <w:rPr>
          <w:rFonts w:hint="eastAsia" w:ascii="仿宋" w:hAnsi="仿宋" w:eastAsia="仿宋" w:cs="仿宋"/>
          <w:sz w:val="28"/>
          <w:szCs w:val="36"/>
        </w:rPr>
        <w:t>合同生效后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日内，甲方向乙方支付人民币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元；</w:t>
      </w:r>
    </w:p>
    <w:p w14:paraId="3A206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（2）服务成果验收合格后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日内，甲方向乙方支付剩余款项人民币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36"/>
        </w:rPr>
        <w:t>元；</w:t>
      </w:r>
    </w:p>
    <w:p w14:paraId="42916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（3）其他支付方式：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11B37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乙方收款账户如下：</w:t>
      </w:r>
    </w:p>
    <w:p w14:paraId="72C01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FFFF" w:themeColor="background1"/>
          <w:sz w:val="28"/>
          <w:szCs w:val="36"/>
          <w:lang w:val="en-US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开户银行：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36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FDE3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账户名称：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36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E98C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 xml:space="preserve">  银行账号：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36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3575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乙方收款前应向甲方提供合法有效的发票或收款凭证。</w:t>
      </w:r>
    </w:p>
    <w:p w14:paraId="42E0D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05FBD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第五条　甲方权利义务</w:t>
      </w:r>
    </w:p>
    <w:p w14:paraId="6222E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甲方有权要求乙方按照本合同约定完成软件技术服务工作。</w:t>
      </w:r>
    </w:p>
    <w:p w14:paraId="2D806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甲方应按照本合同约定向乙方提供必要资料、数据、材料、样品、系统环境和协作条件。</w:t>
      </w:r>
    </w:p>
    <w:p w14:paraId="779A0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甲方应按照本合同约定及时向乙方支付服务费用。</w:t>
      </w:r>
    </w:p>
    <w:p w14:paraId="1BB47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甲方应及时对乙方提交的服务成果、技术方案或工作结果进行确认和验收。</w:t>
      </w:r>
    </w:p>
    <w:p w14:paraId="68893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甲方应妥善使用乙方交付的服务成果，不得擅自超出本合同约定范围使用乙方提供的技术资料。</w:t>
      </w:r>
    </w:p>
    <w:p w14:paraId="3AED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FF01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第六条　乙方权利义务</w:t>
      </w:r>
    </w:p>
    <w:p w14:paraId="669F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乙方应按照本合同约定的服务内容、进度、质量要求和技术指标完成软件技术服务工作。</w:t>
      </w:r>
    </w:p>
    <w:p w14:paraId="0C6FE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乙方应安排具备相应专业能力的人员提供服务，并对其工作人员的服务行为和服务成果负责。</w:t>
      </w:r>
    </w:p>
    <w:p w14:paraId="6A48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乙方应妥善保管甲方交付的资料、数据、材料、样品和系统账号，不得擅自复制、留存、披露或提供给第三方。</w:t>
      </w:r>
    </w:p>
    <w:p w14:paraId="677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乙方完成服务后，应按甲方要求返还相关资料、数据、材料和样品；确需留存副本的，应取得甲方书面同意。</w:t>
      </w:r>
    </w:p>
    <w:p w14:paraId="174A5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乙方不得擅自将本合同项下主要服务工作转委托给第三方。</w:t>
      </w:r>
    </w:p>
    <w:p w14:paraId="39D56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4632F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第七条　验收标准和方法</w:t>
      </w:r>
    </w:p>
    <w:p w14:paraId="63D29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73A6C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验收时间：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44E94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验收地点：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36"/>
        </w:rPr>
        <w:t>。</w:t>
      </w:r>
    </w:p>
    <w:p w14:paraId="30577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验收标准：以本合同约定的服务内容、技术指标、质量要求及双方确认的书面文件为准。</w:t>
      </w:r>
    </w:p>
    <w:p w14:paraId="0239B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验收方法：由甲方组织验收，并根据实际情况出具验收意见或验收报告。</w:t>
      </w:r>
    </w:p>
    <w:p w14:paraId="21C95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验收不合格的，乙方应在甲方要求的期限内完成整改，并重新提交验收。</w:t>
      </w:r>
    </w:p>
    <w:p w14:paraId="705A4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6. 甲方无正当理由逾期未组织验收，也未提出书面异议的，视为乙方服务成果验收合格。</w:t>
      </w:r>
    </w:p>
    <w:p w14:paraId="097B0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3F740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第八条　技术成果归属</w:t>
      </w:r>
    </w:p>
    <w:p w14:paraId="7841C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乙方利用甲方提供的技术资料、数据、系统环境和工作条件完成的服务成果，除双方另有书面约定外，归甲方所有。</w:t>
      </w:r>
    </w:p>
    <w:p w14:paraId="22BB6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乙方在提供服务前已经合法拥有的通用技术、工具、经验和非甲方专有成果，仍归乙方所有，但乙方应保证甲方可以在本合同目的范围内正常使用相关服务成果。</w:t>
      </w:r>
    </w:p>
    <w:p w14:paraId="464CA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未经甲方书面同意，乙方不得将为甲方形成的专属服务成果用于其他项目，也不得向第三方披露、转让、许可使用或公开发布。</w:t>
      </w:r>
    </w:p>
    <w:p w14:paraId="51A5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DA89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第九条　保密义务</w:t>
      </w:r>
    </w:p>
    <w:p w14:paraId="7BB53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双方应对在合同订立和履行过程中知悉的对方商业秘密、技术信息、经营信息、客户资料、业务数据、系统账号、源代码及其他未公开信息承担保密义务。</w:t>
      </w:r>
    </w:p>
    <w:p w14:paraId="2BD69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未经信息提供方书面同意，任何一方不得向第三方披露、提供、转让、许可使用或公开保密信息。</w:t>
      </w:r>
    </w:p>
    <w:p w14:paraId="13854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本合同终止、解除或履行完毕后，双方仍应继续承担保密义务，保密期限为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年；依法应长期保密的信息，不受前述期限限制。</w:t>
      </w:r>
    </w:p>
    <w:p w14:paraId="3A0C8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75BEB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第十条　保证期</w:t>
      </w:r>
    </w:p>
    <w:p w14:paraId="6909F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本合同服务成果保证期为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年或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个月，自验收合格之日起计算。</w:t>
      </w:r>
    </w:p>
    <w:p w14:paraId="05B48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保证期内，因乙方服务质量问题导致服务成果存在缺陷的，乙方应负责返工、修复或采取其他补救措施。</w:t>
      </w:r>
    </w:p>
    <w:p w14:paraId="59E27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因甲方使用、操作、保管不当或者擅自修改服务成果导致的问题，不属于乙方免费保证范围。</w:t>
      </w:r>
    </w:p>
    <w:p w14:paraId="17DF5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326FB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第十一条　违约责任</w:t>
      </w:r>
    </w:p>
    <w:p w14:paraId="59D0E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甲方未按约定支付服务费用的，应按照逾期未付款金额每日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%向乙方支付违约金。</w:t>
      </w:r>
    </w:p>
    <w:p w14:paraId="3F361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甲方未按约定提供资料、数据、材料或工作条件，导致服务延误或无法完成的，应承担相应责任。</w:t>
      </w:r>
    </w:p>
    <w:p w14:paraId="02D54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乙方未按约定期限完成服务工作的，每逾期一日，应按照合同总金额每日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%向甲方支付违约金。</w:t>
      </w:r>
    </w:p>
    <w:p w14:paraId="3621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乙方提交的服务成果不符合合同约定要求的，应负责返工、改进或补充；因此给甲方造成损失的，乙方应予以赔偿。</w:t>
      </w:r>
    </w:p>
    <w:p w14:paraId="5F887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乙方擅自披露、引用、发表或提供甲方技术资料、数据、样品、服务成果的，应承担违约责任并赔偿甲方损失。</w:t>
      </w:r>
    </w:p>
    <w:p w14:paraId="44BCD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6. 双方约定的违约金不足以弥补守约方损失的，违约方还应赔偿不足部分。</w:t>
      </w:r>
    </w:p>
    <w:p w14:paraId="6A45B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19C3B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第十二条　不可抗力</w:t>
      </w:r>
    </w:p>
    <w:p w14:paraId="69F24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因不可抗力导致一方不能履行或不能完全履行本合同的，该方应及时通知另一方，并在合理期限内提供相关证明。</w:t>
      </w:r>
    </w:p>
    <w:p w14:paraId="20864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受不可抗力影响的一方应采取合理措施减少损失。根据不可抗力影响程度，双方可协商延期履行、部分履行或解除合同。</w:t>
      </w:r>
    </w:p>
    <w:p w14:paraId="5C04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D3DF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第十三条　通知</w:t>
      </w:r>
    </w:p>
    <w:p w14:paraId="3C474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双方因履行本合同发出的通知、文件和资料，应采用书面形式送达。</w:t>
      </w:r>
    </w:p>
    <w:p w14:paraId="23FA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双方确认的通讯地址和联系方式为本合同载明的信息。</w:t>
      </w:r>
    </w:p>
    <w:p w14:paraId="3415F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一方变更通讯地址或联系方式的，应提前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日书面通知另一方；未及时通知造成无法送达的，由变更方自行承担责任。</w:t>
      </w:r>
    </w:p>
    <w:p w14:paraId="556D7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7FEBD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第十四条　争议解决</w:t>
      </w:r>
    </w:p>
    <w:p w14:paraId="20E62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因履行本合同发生争议的，双方应友好协商解决；协商不成的，任一方均可向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>人民法院提起诉讼。</w:t>
      </w:r>
    </w:p>
    <w:p w14:paraId="1FC05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67D49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第十五条　其他</w:t>
      </w:r>
    </w:p>
    <w:p w14:paraId="2D24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本合同自甲乙双方签字或盖章之日起生效。</w:t>
      </w:r>
    </w:p>
    <w:p w14:paraId="0B45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本合同有效期为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年，自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年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月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日起至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年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月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6"/>
        </w:rPr>
        <w:t>日止。</w:t>
      </w:r>
    </w:p>
    <w:p w14:paraId="3B812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本合同未尽事宜，由双方另行协商并签订书面补充协议。补充协议与本合同具有同等法律效力。</w:t>
      </w:r>
    </w:p>
    <w:p w14:paraId="5A834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4. 本合同附件为本合同不可分割的组成部分，与本合同正文具有同等法律效力。</w:t>
      </w:r>
    </w:p>
    <w:p w14:paraId="54CB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本合同一式两份，甲乙双方各执一份，具有同等法律效力。</w:t>
      </w:r>
    </w:p>
    <w:p w14:paraId="68C0A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7E07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36D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p w14:paraId="0469A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4C4EE">
    <w:pPr>
      <w:pStyle w:val="17"/>
      <w:tabs>
        <w:tab w:val="clear" w:pos="7143"/>
      </w:tabs>
      <w:jc w:val="both"/>
    </w:pPr>
    <w:bookmarkStart w:id="0" w:name="_GoBack"/>
    <w:bookmarkEnd w:id="0"/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3D25E8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3D25E8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1B9BE">
    <w:pPr>
      <w:pStyle w:val="1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32F38"/>
    <w:rsid w:val="7C97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uiPriority w:val="0"/>
  </w:style>
  <w:style w:type="table" w:default="1" w:styleId="2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0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3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basedOn w:val="2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endnote reference"/>
    <w:basedOn w:val="30"/>
    <w:semiHidden/>
    <w:unhideWhenUsed/>
    <w:uiPriority w:val="99"/>
    <w:rPr>
      <w:vertAlign w:val="superscript"/>
    </w:rPr>
  </w:style>
  <w:style w:type="character" w:styleId="32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basedOn w:val="30"/>
    <w:unhideWhenUsed/>
    <w:uiPriority w:val="99"/>
    <w:rPr>
      <w:vertAlign w:val="superscript"/>
    </w:rPr>
  </w:style>
  <w:style w:type="character" w:customStyle="1" w:styleId="34">
    <w:name w:val="Heading 1 Char"/>
    <w:basedOn w:val="30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basedOn w:val="30"/>
    <w:link w:val="3"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basedOn w:val="30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basedOn w:val="30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basedOn w:val="30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basedOn w:val="30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basedOn w:val="30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basedOn w:val="30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basedOn w:val="30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after="0" w:line="240" w:lineRule="auto"/>
    </w:pPr>
    <w:rPr>
      <w:rFonts w:hint="default" w:ascii="Times New Roman" w:hAnsi="Times New Roman" w:eastAsia="宋体" w:cs="Times New Roman"/>
    </w:rPr>
  </w:style>
  <w:style w:type="character" w:customStyle="1" w:styleId="45">
    <w:name w:val="Title Char"/>
    <w:basedOn w:val="30"/>
    <w:link w:val="27"/>
    <w:qFormat/>
    <w:uiPriority w:val="10"/>
    <w:rPr>
      <w:sz w:val="48"/>
      <w:szCs w:val="48"/>
    </w:rPr>
  </w:style>
  <w:style w:type="character" w:customStyle="1" w:styleId="46">
    <w:name w:val="Subtitle Char"/>
    <w:basedOn w:val="30"/>
    <w:link w:val="21"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30"/>
    <w:link w:val="18"/>
    <w:uiPriority w:val="99"/>
  </w:style>
  <w:style w:type="character" w:customStyle="1" w:styleId="52">
    <w:name w:val="Footer Char"/>
    <w:basedOn w:val="30"/>
    <w:link w:val="17"/>
    <w:qFormat/>
    <w:uiPriority w:val="99"/>
  </w:style>
  <w:style w:type="character" w:customStyle="1" w:styleId="53">
    <w:name w:val="Caption Char"/>
    <w:link w:val="17"/>
    <w:uiPriority w:val="99"/>
  </w:style>
  <w:style w:type="table" w:customStyle="1" w:styleId="54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Plain Table 1"/>
    <w:basedOn w:val="28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56">
    <w:name w:val="Plain Table 2"/>
    <w:basedOn w:val="2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58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59">
    <w:name w:val="Plain Table 5"/>
    <w:basedOn w:val="2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0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2">
    <w:name w:val="Grid Table 1 Light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6">
    <w:name w:val="Grid Table 1 Light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68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</w:style>
  <w:style w:type="table" w:customStyle="1" w:styleId="69">
    <w:name w:val="Grid Table 2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70">
    <w:name w:val="Grid Table 2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71">
    <w:name w:val="Grid Table 2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72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73">
    <w:name w:val="Grid Table 2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74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5">
    <w:name w:val="Grid Table 3 - Accent 1"/>
    <w:basedOn w:val="28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</w:style>
  <w:style w:type="table" w:customStyle="1" w:styleId="76">
    <w:name w:val="Grid Table 3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77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78">
    <w:name w:val="Grid Table 3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79">
    <w:name w:val="Grid Table 3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80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81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2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FFFFFF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EEBF6" w:themeFill="accent1" w:themeFillTint="32"/>
      </w:tcPr>
    </w:tblStylePr>
  </w:style>
  <w:style w:type="table" w:customStyle="1" w:styleId="83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FFFFF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84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85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FFFF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86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FFFFFF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87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88">
    <w:name w:val="Grid Table 5 Dark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89">
    <w:name w:val="Grid Table 5 Dark- Accent 1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band1Vert">
      <w:tcPr>
        <w:shd w:val="clear" w:color="FFFFFF" w:fill="B3D1EB" w:themeFill="accent1" w:themeFillTint="75"/>
      </w:tcPr>
    </w:tblStylePr>
    <w:tblStylePr w:type="band1Horz">
      <w:tcPr>
        <w:shd w:val="clear" w:color="FFFFFF" w:fill="B3D1EB" w:themeFill="accent1" w:themeFillTint="75"/>
      </w:tcPr>
    </w:tblStylePr>
  </w:style>
  <w:style w:type="table" w:customStyle="1" w:styleId="90">
    <w:name w:val="Grid Table 5 Dark - Accent 2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band1Vert">
      <w:tcPr>
        <w:shd w:val="clear" w:color="FFFFFF" w:fill="F6C3A0" w:themeFill="accent2" w:themeFillTint="75"/>
      </w:tcPr>
    </w:tblStylePr>
    <w:tblStylePr w:type="band1Horz">
      <w:tcPr>
        <w:shd w:val="clear" w:color="FFFFFF" w:fill="F6C3A0" w:themeFill="accent2" w:themeFillTint="75"/>
      </w:tcPr>
    </w:tblStylePr>
  </w:style>
  <w:style w:type="table" w:customStyle="1" w:styleId="91">
    <w:name w:val="Grid Table 5 Dark - Accent 3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band1Vert">
      <w:tcPr>
        <w:shd w:val="clear" w:color="FFFFFF" w:fill="D5D5D5" w:themeFill="accent3" w:themeFillTint="75"/>
      </w:tcPr>
    </w:tblStylePr>
    <w:tblStylePr w:type="band1Horz">
      <w:tcPr>
        <w:shd w:val="clear" w:color="FFFFFF" w:fill="D5D5D5" w:themeFill="accent3" w:themeFillTint="75"/>
      </w:tcPr>
    </w:tblStylePr>
  </w:style>
  <w:style w:type="table" w:customStyle="1" w:styleId="92">
    <w:name w:val="Grid Table 5 Dark- Accent 4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band1Vert">
      <w:tcPr>
        <w:shd w:val="clear" w:color="FFFFFF" w:fill="FEE289" w:themeFill="accent4" w:themeFillTint="75"/>
      </w:tcPr>
    </w:tblStylePr>
    <w:tblStylePr w:type="band1Horz">
      <w:tcPr>
        <w:shd w:val="clear" w:color="FFFFFF" w:fill="FEE289" w:themeFill="accent4" w:themeFillTint="75"/>
      </w:tcPr>
    </w:tblStylePr>
  </w:style>
  <w:style w:type="table" w:customStyle="1" w:styleId="93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band1Vert">
      <w:tcPr>
        <w:shd w:val="clear" w:color="FFFFFF" w:fill="A9BEE3" w:themeFill="accent5" w:themeFillTint="75"/>
      </w:tcPr>
    </w:tblStylePr>
    <w:tblStylePr w:type="band1Horz">
      <w:tcPr>
        <w:shd w:val="clear" w:color="FFFFFF" w:fill="A9BEE3" w:themeFill="accent5" w:themeFillTint="75"/>
      </w:tcPr>
    </w:tblStylePr>
  </w:style>
  <w:style w:type="table" w:customStyle="1" w:styleId="94">
    <w:name w:val="Grid Table 5 Dark - Accent 6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band1Vert">
      <w:tcPr>
        <w:shd w:val="clear" w:color="FFFFFF" w:fill="BCDBA8" w:themeFill="accent6" w:themeFillTint="75"/>
      </w:tcPr>
    </w:tblStylePr>
    <w:tblStylePr w:type="band1Horz">
      <w:tcPr>
        <w:shd w:val="clear" w:color="FFFFFF" w:fill="BCDBA8" w:themeFill="accent6" w:themeFillTint="75"/>
      </w:tcPr>
    </w:tblStylePr>
  </w:style>
  <w:style w:type="table" w:customStyle="1" w:styleId="95">
    <w:name w:val="Grid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28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28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28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6 Colorful - Accent 6"/>
    <w:basedOn w:val="28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7 Colorful"/>
    <w:basedOn w:val="2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28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28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8">
    <w:name w:val="Grid Table 7 Colorful - Accent 6"/>
    <w:basedOn w:val="28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110">
    <w:name w:val="List Table 1 Light - Accent 1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5E5F4" w:themeFill="accent1" w:themeFillTint="40"/>
      </w:tcPr>
    </w:tblStylePr>
    <w:tblStylePr w:type="band1Horz">
      <w:tcPr>
        <w:shd w:val="clear" w:color="FFFFFF" w:fill="D5E5F4" w:themeFill="accent1" w:themeFillTint="40"/>
      </w:tcPr>
    </w:tblStylePr>
  </w:style>
  <w:style w:type="table" w:customStyle="1" w:styleId="111">
    <w:name w:val="List Table 1 Light - Accent 2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tcPr>
        <w:shd w:val="clear" w:color="FFFFFF" w:fill="FADECB" w:themeFill="accent2" w:themeFillTint="40"/>
      </w:tcPr>
    </w:tblStylePr>
  </w:style>
  <w:style w:type="table" w:customStyle="1" w:styleId="112">
    <w:name w:val="List Table 1 Light - Accent 3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tcPr>
        <w:shd w:val="clear" w:color="FFFFFF" w:fill="E8E8E8" w:themeFill="accent3" w:themeFillTint="40"/>
      </w:tcPr>
    </w:tblStylePr>
  </w:style>
  <w:style w:type="table" w:customStyle="1" w:styleId="113">
    <w:name w:val="List Table 1 Light - Accent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tcPr>
        <w:shd w:val="clear" w:color="FFFFFF" w:fill="FFEFBE" w:themeFill="accent4" w:themeFillTint="40"/>
      </w:tcPr>
    </w:tblStylePr>
  </w:style>
  <w:style w:type="table" w:customStyle="1" w:styleId="114">
    <w:name w:val="List Table 1 Light - Accent 5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0DBF0" w:themeFill="accent5" w:themeFillTint="40"/>
      </w:tcPr>
    </w:tblStylePr>
    <w:tblStylePr w:type="band1Horz">
      <w:tcPr>
        <w:shd w:val="clear" w:color="FFFFFF" w:fill="D0DBF0" w:themeFill="accent5" w:themeFillTint="40"/>
      </w:tcPr>
    </w:tblStylePr>
  </w:style>
  <w:style w:type="table" w:customStyle="1" w:styleId="115">
    <w:name w:val="List Table 1 Light - Accent 6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tcPr>
        <w:shd w:val="clear" w:color="FFFFFF" w:fill="DAEBCF" w:themeFill="accent6" w:themeFillTint="40"/>
      </w:tcPr>
    </w:tblStylePr>
  </w:style>
  <w:style w:type="table" w:customStyle="1" w:styleId="116">
    <w:name w:val="List Table 2"/>
    <w:basedOn w:val="2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17">
    <w:name w:val="List Table 2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</w:style>
  <w:style w:type="table" w:customStyle="1" w:styleId="118">
    <w:name w:val="List Table 2 - Accent 2"/>
    <w:basedOn w:val="28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19">
    <w:name w:val="List Table 2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20">
    <w:name w:val="List Table 2 - Accent 4"/>
    <w:basedOn w:val="28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21">
    <w:name w:val="List Table 2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</w:style>
  <w:style w:type="table" w:customStyle="1" w:styleId="122">
    <w:name w:val="List Table 2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23">
    <w:name w:val="List Table 3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5">
    <w:name w:val="List Table 3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9">
    <w:name w:val="List Table 3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31">
    <w:name w:val="List Table 4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</w:style>
  <w:style w:type="table" w:customStyle="1" w:styleId="132">
    <w:name w:val="List Table 4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33">
    <w:name w:val="List Table 4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34">
    <w:name w:val="List Table 4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35">
    <w:name w:val="List Table 4 - Accent 5"/>
    <w:basedOn w:val="28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</w:style>
  <w:style w:type="table" w:customStyle="1" w:styleId="136">
    <w:name w:val="List Table 4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37">
    <w:name w:val="List Table 5 Dark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38">
    <w:name w:val="List Table 5 Dark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</w:style>
  <w:style w:type="table" w:customStyle="1" w:styleId="139">
    <w:name w:val="List Table 5 Dark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FFFFF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</w:style>
  <w:style w:type="table" w:customStyle="1" w:styleId="140">
    <w:name w:val="List Table 5 Dark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</w:style>
  <w:style w:type="table" w:customStyle="1" w:styleId="141">
    <w:name w:val="List Table 5 Dark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FFFF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</w:style>
  <w:style w:type="table" w:customStyle="1" w:styleId="142">
    <w:name w:val="List Table 5 Dark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FFFFFF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</w:style>
  <w:style w:type="table" w:customStyle="1" w:styleId="143">
    <w:name w:val="List Table 5 Dark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</w:style>
  <w:style w:type="table" w:customStyle="1" w:styleId="144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6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28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3">
    <w:name w:val="List Table 7 Colorful - Accent 2"/>
    <w:basedOn w:val="28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59">
    <w:name w:val="Lined - Accent 1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</w:style>
  <w:style w:type="table" w:customStyle="1" w:styleId="160">
    <w:name w:val="Lined - Accent 2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61">
    <w:name w:val="Lined - Accent 3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62">
    <w:name w:val="Lined - Accent 4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63">
    <w:name w:val="Lined - Accent 5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164">
    <w:name w:val="Lined - Accent 6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65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6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</w:style>
  <w:style w:type="table" w:customStyle="1" w:styleId="167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68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69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70">
    <w:name w:val="Bordered &amp; Lined - Accent 5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171">
    <w:name w:val="Bordered &amp; Lined - Accent 6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72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4">
    <w:name w:val="Bordered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8">
    <w:name w:val="Bordered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Footnote Text Char"/>
    <w:link w:val="22"/>
    <w:uiPriority w:val="99"/>
    <w:rPr>
      <w:sz w:val="18"/>
    </w:rPr>
  </w:style>
  <w:style w:type="character" w:customStyle="1" w:styleId="180">
    <w:name w:val="Endnote Text Char"/>
    <w:link w:val="16"/>
    <w:uiPriority w:val="99"/>
    <w:rPr>
      <w:sz w:val="20"/>
    </w:rPr>
  </w:style>
  <w:style w:type="paragraph" w:customStyle="1" w:styleId="181">
    <w:name w:val="TOC Heading"/>
    <w:unhideWhenUsed/>
    <w:uiPriority w:val="39"/>
    <w:rPr>
      <w:rFonts w:hint="default"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软件技术服务合同.docx</Template>
  <Pages>7</Pages>
  <Words>2865</Words>
  <Characters>3409</Characters>
  <TotalTime>5</TotalTime>
  <ScaleCrop>false</ScaleCrop>
  <LinksUpToDate>false</LinksUpToDate>
  <CharactersWithSpaces>3695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2022-04-22T08:02:00Z</dcterms:created>
  <dc:creator>解小豆</dc:creator>
  <cp:lastModifiedBy>木木耶</cp:lastModifiedBy>
  <dcterms:modified xsi:type="dcterms:W3CDTF">2026-06-09T18:05:06Z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v1.0_mb_mtgiQCYI6LrYEYjQuWWGZA==</vt:lpwstr>
  </property>
  <property fmtid="{D5CDD505-2E9C-101B-9397-08002B2CF9AE}" pid="4" name="ICV">
    <vt:lpwstr>34A6D544510B4F5BA244C4C9AD121C18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