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 w:after="240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36"/>
        </w:rPr>
        <w:t>合同风险审查报告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一、报告概览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报告编号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RISK-V6-20260623203931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关联草稿版本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#43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合同类型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/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甲方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（委托方/广告主）：上海星禾品牌管理有限公司 住所地：上海市浦东新区陆家嘴环路1000号18层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乙方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上海顺通达物流有限公司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业务范围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test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最高风险等级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高风险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风险总数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7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高 / 中 / 低风险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3 / 4 / 0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摘要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风险审查完成，共发现 7 项风险，其中高风险 3 项、中风险 4 项、低风险 0 项。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模型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Qwen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审查人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admin</w:t>
            </w:r>
          </w:p>
        </w:tc>
      </w:tr>
      <w:tr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生成时间</w:t>
            </w:r>
          </w:p>
        </w:tc>
        <w:tc>
          <w:p>
            <w:pPr>
              <w:spacing w:line="360" w:lineRule="auto"/>
              <w:jc w:val="left"/>
            </w:pPr>
            <w:r>
              <w:rPr>
                <w:rFonts w:ascii="FangSong" w:hAnsi="FangSong" w:cs="FangSong" w:eastAsia="FangSong"/>
                <w:sz w:val="28"/>
              </w:rPr>
              <w:t>2026-06-23 20:39:31</w:t>
            </w:r>
          </w:p>
        </w:tc>
      </w:tr>
    </w:tbl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二、风险修改建议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1.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甲方（委托方/广告主）：上海星禾品牌管理有限公司
住所地：上海市浦东新区陆家嘴环路1000号18层
联系人：李明
联系电话：021-68886666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甲方未列明统一社会信用代码，无法验证主体真实性与合法性；联系人李明未明确其是否为法定代表人或授权代表，缺乏签字权限证明。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补充甲方统一社会信用代码；明确李明身份（如‘法定代表人’或‘授权代表’），并附授权书作为附件。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2. 高风险 - 主体信息风险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乙方（服务方/广告服务提供方）：北京云帆数字传媒有限公司
住所地：北京市朝阳区望京东路1号15层
联系人：王悦
联系电话：010-58660088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乙方未列明统一社会信用代码；联系人王悦未说明其身份及签署权限，存在签约主体不适格风险。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补充乙方统一社会信用代码；注明王悦为法定代表人或提供有效授权文件，并在签署页明确‘授权代表’身份。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3. 中风险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尾款人民币24000元，于服务成果验收或结算确认后5个工作日内支付。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‘验收或结算确认’标准模糊，未明确以哪一方书面确认为准，亦未约定验收异议期届满即视为默认通过，易引发付款拖延争议。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修改为‘甲方应在收到结案材料后5个工作日内完成验收并出具书面确认；逾期未提出书面异议的，视为验收合格，尾款应于第6个工作日支付’。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4. 中风险 - 付款风险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乙方应按甲方要求提供合法有效的发票，发票类型为：增值税专用发票（税率6%）。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未约定开票时间（如‘付款前开具’或‘收款后X日内开具’），亦未明确发票信息错误时的重开义务与责任，影响甲方财务合规与抵扣。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补充‘乙方应于每期付款前至少2个工作日向甲方开具等额、合规的增值税专用发票；发票信息有误的，须在甲方通知后1个工作日内无偿重开’。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5. 高风险 - 争议解决风险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双方因本合同产生争议的，应先协商解决；协商不成的，可向北京市朝阳区人民法院提起诉讼，或向北京仲裁委员会申请仲裁，以双方最终书面约定为准。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争议解决方式同时约定诉讼与仲裁，且未作排他性选择（如‘或裁或审’条款无效），违反《仲裁法》第十八条，导致条款整体无效，争议解决路径不确定。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删除‘或’字，明确唯一路径，例如‘协商不成的，任何一方均有权向北京市朝阳区人民法院提起诉讼’；若选仲裁，须删除法院管辖表述并明确‘提交北京仲裁委员会仲裁’。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6. 中风险 - 期限风险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本合同服务期限自2026年7月1日起至2026年9月30日止。期限届满后，双方可另行协商续签或补充约定。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未约定合同终止后尚未执行完毕的投放义务（如跨期广告投放、数据监测延续等）如何处理，亦无自动终止或默认延期排除机制。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补充‘服务期限届满时，如广告投放尚未完成或数据监测周期未满，乙方应继续履行至该等事项实际完结，但费用不额外增加；除非双方另行书面约定’。</w:t>
      </w:r>
    </w:p>
    <w:p>
      <w:pPr>
        <w:spacing w:line="360" w:lineRule="auto" w:before="160" w:after="100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7. 中风险 - 违约风险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风险原文：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甲方逾期支付费用的，每逾期一日，应按逾期未付款金额的万分之五向乙方支付违约金；逾期超过15日的，乙方有权暂停服务或解除合同。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风险原因：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仅单方约定甲方逾期付款违约责任，未对乙方延迟交付、服务质量不达标、数据造假等核心履约违约情形设定对应违约金或赔偿计算标准，权利义务失衡。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建议修改：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在第七条第2款中补充乙方实质性违约（如关键节点延误超3日、核心KPI未达约定值80%、数据严重失实）的违约金标准（建议按当期费用10%-20%计）及甲方解约权。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2026-06-23T12:39:31Z</dcterms:created>
  <dc:creator>Apache POI</dc:creator>
</cp:coreProperties>
</file>