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pPr>
        <w:spacing w:line="360" w:lineRule="auto" w:after="240"/>
        <w:jc w:val="center"/>
      </w:pPr>
      <w:r>
        <w:rPr>
          <w:b w:val="on"/>
          <w:i w:val="off"/>
          <w:u w:val="none"/>
          <w:strike w:val="off"/>
          <w:rFonts w:ascii="FangSong" w:hAnsi="FangSong" w:cs="FangSong" w:eastAsia="FangSong"/>
          <w:sz w:val="36"/>
        </w:rPr>
        <w:t>合同风险审查报告</w:t>
      </w:r>
    </w:p>
    <w:p>
      <w:pPr>
        <w:spacing w:line="360" w:lineRule="auto" w:before="160" w:after="100"/>
        <w:jc w:val="left"/>
      </w:pPr>
      <w:r>
        <w:rPr>
          <w:b w:val="on"/>
          <w:i w:val="off"/>
          <w:u w:val="none"/>
          <w:strike w:val="off"/>
          <w:rFonts w:ascii="FangSong" w:hAnsi="FangSong" w:cs="FangSong" w:eastAsia="FangSong"/>
          <w:sz w:val="28"/>
        </w:rPr>
        <w:t>一、报告概览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spacing w:line="360" w:lineRule="auto"/>
              <w:jc w:val="left"/>
            </w:pPr>
            <w:r>
              <w:rPr>
                <w:rFonts w:ascii="FangSong" w:hAnsi="FangSong" w:cs="FangSong" w:eastAsia="FangSong"/>
                <w:sz w:val="28"/>
              </w:rPr>
              <w:t>报告编号</w:t>
            </w:r>
          </w:p>
        </w:tc>
        <w:tc>
          <w:p>
            <w:pPr>
              <w:spacing w:line="360" w:lineRule="auto"/>
              <w:jc w:val="left"/>
            </w:pPr>
            <w:r>
              <w:rPr>
                <w:rFonts w:ascii="FangSong" w:hAnsi="FangSong" w:cs="FangSong" w:eastAsia="FangSong"/>
                <w:sz w:val="28"/>
              </w:rPr>
              <w:t>RISK-V5-20260623202709</w:t>
            </w:r>
          </w:p>
        </w:tc>
      </w:tr>
      <w:tr>
        <w:tc>
          <w:p>
            <w:pPr>
              <w:spacing w:line="360" w:lineRule="auto"/>
              <w:jc w:val="left"/>
            </w:pPr>
            <w:r>
              <w:rPr>
                <w:rFonts w:ascii="FangSong" w:hAnsi="FangSong" w:cs="FangSong" w:eastAsia="FangSong"/>
                <w:sz w:val="28"/>
              </w:rPr>
              <w:t>关联草稿版本</w:t>
            </w:r>
          </w:p>
        </w:tc>
        <w:tc>
          <w:p>
            <w:pPr>
              <w:spacing w:line="360" w:lineRule="auto"/>
              <w:jc w:val="left"/>
            </w:pPr>
            <w:r>
              <w:rPr>
                <w:rFonts w:ascii="FangSong" w:hAnsi="FangSong" w:cs="FangSong" w:eastAsia="FangSong"/>
                <w:sz w:val="28"/>
              </w:rPr>
              <w:t>#43</w:t>
            </w:r>
          </w:p>
        </w:tc>
      </w:tr>
      <w:tr>
        <w:tc>
          <w:p>
            <w:pPr>
              <w:spacing w:line="360" w:lineRule="auto"/>
              <w:jc w:val="left"/>
            </w:pPr>
            <w:r>
              <w:rPr>
                <w:rFonts w:ascii="FangSong" w:hAnsi="FangSong" w:cs="FangSong" w:eastAsia="FangSong"/>
                <w:sz w:val="28"/>
              </w:rPr>
              <w:t>合同类型</w:t>
            </w:r>
          </w:p>
        </w:tc>
        <w:tc>
          <w:p>
            <w:pPr>
              <w:spacing w:line="360" w:lineRule="auto"/>
              <w:jc w:val="left"/>
            </w:pPr>
            <w:r>
              <w:rPr>
                <w:rFonts w:ascii="FangSong" w:hAnsi="FangSong" w:cs="FangSong" w:eastAsia="FangSong"/>
                <w:sz w:val="28"/>
              </w:rPr>
              <w:t/>
            </w:r>
          </w:p>
        </w:tc>
      </w:tr>
      <w:tr>
        <w:tc>
          <w:p>
            <w:pPr>
              <w:spacing w:line="360" w:lineRule="auto"/>
              <w:jc w:val="left"/>
            </w:pPr>
            <w:r>
              <w:rPr>
                <w:rFonts w:ascii="FangSong" w:hAnsi="FangSong" w:cs="FangSong" w:eastAsia="FangSong"/>
                <w:sz w:val="28"/>
              </w:rPr>
              <w:t>甲方</w:t>
            </w:r>
          </w:p>
        </w:tc>
        <w:tc>
          <w:p>
            <w:pPr>
              <w:spacing w:line="360" w:lineRule="auto"/>
              <w:jc w:val="left"/>
            </w:pPr>
            <w:r>
              <w:rPr>
                <w:rFonts w:ascii="FangSong" w:hAnsi="FangSong" w:cs="FangSong" w:eastAsia="FangSong"/>
                <w:sz w:val="28"/>
              </w:rPr>
              <w:t>（委托方/广告主）：上海星禾品牌管理有限公司 住所地：上海市浦东新区陆家嘴环路1000号18层</w:t>
            </w:r>
          </w:p>
        </w:tc>
      </w:tr>
      <w:tr>
        <w:tc>
          <w:p>
            <w:pPr>
              <w:spacing w:line="360" w:lineRule="auto"/>
              <w:jc w:val="left"/>
            </w:pPr>
            <w:r>
              <w:rPr>
                <w:rFonts w:ascii="FangSong" w:hAnsi="FangSong" w:cs="FangSong" w:eastAsia="FangSong"/>
                <w:sz w:val="28"/>
              </w:rPr>
              <w:t>乙方</w:t>
            </w:r>
          </w:p>
        </w:tc>
        <w:tc>
          <w:p>
            <w:pPr>
              <w:spacing w:line="360" w:lineRule="auto"/>
              <w:jc w:val="left"/>
            </w:pPr>
            <w:r>
              <w:rPr>
                <w:rFonts w:ascii="FangSong" w:hAnsi="FangSong" w:cs="FangSong" w:eastAsia="FangSong"/>
                <w:sz w:val="28"/>
              </w:rPr>
              <w:t>上海顺通达物流有限公司</w:t>
            </w:r>
          </w:p>
        </w:tc>
      </w:tr>
      <w:tr>
        <w:tc>
          <w:p>
            <w:pPr>
              <w:spacing w:line="360" w:lineRule="auto"/>
              <w:jc w:val="left"/>
            </w:pPr>
            <w:r>
              <w:rPr>
                <w:rFonts w:ascii="FangSong" w:hAnsi="FangSong" w:cs="FangSong" w:eastAsia="FangSong"/>
                <w:sz w:val="28"/>
              </w:rPr>
              <w:t>业务范围</w:t>
            </w:r>
          </w:p>
        </w:tc>
        <w:tc>
          <w:p>
            <w:pPr>
              <w:spacing w:line="360" w:lineRule="auto"/>
              <w:jc w:val="left"/>
            </w:pPr>
            <w:r>
              <w:rPr>
                <w:rFonts w:ascii="FangSong" w:hAnsi="FangSong" w:cs="FangSong" w:eastAsia="FangSong"/>
                <w:sz w:val="28"/>
              </w:rPr>
              <w:t>test</w:t>
            </w:r>
          </w:p>
        </w:tc>
      </w:tr>
      <w:tr>
        <w:tc>
          <w:p>
            <w:pPr>
              <w:spacing w:line="360" w:lineRule="auto"/>
              <w:jc w:val="left"/>
            </w:pPr>
            <w:r>
              <w:rPr>
                <w:rFonts w:ascii="FangSong" w:hAnsi="FangSong" w:cs="FangSong" w:eastAsia="FangSong"/>
                <w:sz w:val="28"/>
              </w:rPr>
              <w:t>最高风险等级</w:t>
            </w:r>
          </w:p>
        </w:tc>
        <w:tc>
          <w:p>
            <w:pPr>
              <w:spacing w:line="360" w:lineRule="auto"/>
              <w:jc w:val="left"/>
            </w:pPr>
            <w:r>
              <w:rPr>
                <w:rFonts w:ascii="FangSong" w:hAnsi="FangSong" w:cs="FangSong" w:eastAsia="FangSong"/>
                <w:sz w:val="28"/>
              </w:rPr>
              <w:t>高风险</w:t>
            </w:r>
          </w:p>
        </w:tc>
      </w:tr>
      <w:tr>
        <w:tc>
          <w:p>
            <w:pPr>
              <w:spacing w:line="360" w:lineRule="auto"/>
              <w:jc w:val="left"/>
            </w:pPr>
            <w:r>
              <w:rPr>
                <w:rFonts w:ascii="FangSong" w:hAnsi="FangSong" w:cs="FangSong" w:eastAsia="FangSong"/>
                <w:sz w:val="28"/>
              </w:rPr>
              <w:t>风险总数</w:t>
            </w:r>
          </w:p>
        </w:tc>
        <w:tc>
          <w:p>
            <w:pPr>
              <w:spacing w:line="360" w:lineRule="auto"/>
              <w:jc w:val="left"/>
            </w:pPr>
            <w:r>
              <w:rPr>
                <w:rFonts w:ascii="FangSong" w:hAnsi="FangSong" w:cs="FangSong" w:eastAsia="FangSong"/>
                <w:sz w:val="28"/>
              </w:rPr>
              <w:t>7</w:t>
            </w:r>
          </w:p>
        </w:tc>
      </w:tr>
      <w:tr>
        <w:tc>
          <w:p>
            <w:pPr>
              <w:spacing w:line="360" w:lineRule="auto"/>
              <w:jc w:val="left"/>
            </w:pPr>
            <w:r>
              <w:rPr>
                <w:rFonts w:ascii="FangSong" w:hAnsi="FangSong" w:cs="FangSong" w:eastAsia="FangSong"/>
                <w:sz w:val="28"/>
              </w:rPr>
              <w:t>高 / 中 / 低风险</w:t>
            </w:r>
          </w:p>
        </w:tc>
        <w:tc>
          <w:p>
            <w:pPr>
              <w:spacing w:line="360" w:lineRule="auto"/>
              <w:jc w:val="left"/>
            </w:pPr>
            <w:r>
              <w:rPr>
                <w:rFonts w:ascii="FangSong" w:hAnsi="FangSong" w:cs="FangSong" w:eastAsia="FangSong"/>
                <w:sz w:val="28"/>
              </w:rPr>
              <w:t>3 / 4 / 0</w:t>
            </w:r>
          </w:p>
        </w:tc>
      </w:tr>
      <w:tr>
        <w:tc>
          <w:p>
            <w:pPr>
              <w:spacing w:line="360" w:lineRule="auto"/>
              <w:jc w:val="left"/>
            </w:pPr>
            <w:r>
              <w:rPr>
                <w:rFonts w:ascii="FangSong" w:hAnsi="FangSong" w:cs="FangSong" w:eastAsia="FangSong"/>
                <w:sz w:val="28"/>
              </w:rPr>
              <w:t>摘要</w:t>
            </w:r>
          </w:p>
        </w:tc>
        <w:tc>
          <w:p>
            <w:pPr>
              <w:spacing w:line="360" w:lineRule="auto"/>
              <w:jc w:val="left"/>
            </w:pPr>
            <w:r>
              <w:rPr>
                <w:rFonts w:ascii="FangSong" w:hAnsi="FangSong" w:cs="FangSong" w:eastAsia="FangSong"/>
                <w:sz w:val="28"/>
              </w:rPr>
              <w:t>风险审查完成，共发现 7 项风险，其中高风险 3 项、中风险 4 项、低风险 0 项。</w:t>
            </w:r>
          </w:p>
        </w:tc>
      </w:tr>
      <w:tr>
        <w:tc>
          <w:p>
            <w:pPr>
              <w:spacing w:line="360" w:lineRule="auto"/>
              <w:jc w:val="left"/>
            </w:pPr>
            <w:r>
              <w:rPr>
                <w:rFonts w:ascii="FangSong" w:hAnsi="FangSong" w:cs="FangSong" w:eastAsia="FangSong"/>
                <w:sz w:val="28"/>
              </w:rPr>
              <w:t>模型</w:t>
            </w:r>
          </w:p>
        </w:tc>
        <w:tc>
          <w:p>
            <w:pPr>
              <w:spacing w:line="360" w:lineRule="auto"/>
              <w:jc w:val="left"/>
            </w:pPr>
            <w:r>
              <w:rPr>
                <w:rFonts w:ascii="FangSong" w:hAnsi="FangSong" w:cs="FangSong" w:eastAsia="FangSong"/>
                <w:sz w:val="28"/>
              </w:rPr>
              <w:t>Qwen</w:t>
            </w:r>
          </w:p>
        </w:tc>
      </w:tr>
      <w:tr>
        <w:tc>
          <w:p>
            <w:pPr>
              <w:spacing w:line="360" w:lineRule="auto"/>
              <w:jc w:val="left"/>
            </w:pPr>
            <w:r>
              <w:rPr>
                <w:rFonts w:ascii="FangSong" w:hAnsi="FangSong" w:cs="FangSong" w:eastAsia="FangSong"/>
                <w:sz w:val="28"/>
              </w:rPr>
              <w:t>审查人</w:t>
            </w:r>
          </w:p>
        </w:tc>
        <w:tc>
          <w:p>
            <w:pPr>
              <w:spacing w:line="360" w:lineRule="auto"/>
              <w:jc w:val="left"/>
            </w:pPr>
            <w:r>
              <w:rPr>
                <w:rFonts w:ascii="FangSong" w:hAnsi="FangSong" w:cs="FangSong" w:eastAsia="FangSong"/>
                <w:sz w:val="28"/>
              </w:rPr>
              <w:t>admin</w:t>
            </w:r>
          </w:p>
        </w:tc>
      </w:tr>
      <w:tr>
        <w:tc>
          <w:p>
            <w:pPr>
              <w:spacing w:line="360" w:lineRule="auto"/>
              <w:jc w:val="left"/>
            </w:pPr>
            <w:r>
              <w:rPr>
                <w:rFonts w:ascii="FangSong" w:hAnsi="FangSong" w:cs="FangSong" w:eastAsia="FangSong"/>
                <w:sz w:val="28"/>
              </w:rPr>
              <w:t>生成时间</w:t>
            </w:r>
          </w:p>
        </w:tc>
        <w:tc>
          <w:p>
            <w:pPr>
              <w:spacing w:line="360" w:lineRule="auto"/>
              <w:jc w:val="left"/>
            </w:pPr>
            <w:r>
              <w:rPr>
                <w:rFonts w:ascii="FangSong" w:hAnsi="FangSong" w:cs="FangSong" w:eastAsia="FangSong"/>
                <w:sz w:val="28"/>
              </w:rPr>
              <w:t>2026-06-23 20:27:09</w:t>
            </w:r>
          </w:p>
        </w:tc>
      </w:tr>
    </w:tbl>
    <w:p>
      <w:pPr>
        <w:spacing w:line="360" w:lineRule="auto" w:before="160" w:after="100"/>
        <w:jc w:val="left"/>
      </w:pPr>
      <w:r>
        <w:rPr>
          <w:b w:val="on"/>
          <w:i w:val="off"/>
          <w:u w:val="none"/>
          <w:strike w:val="off"/>
          <w:rFonts w:ascii="FangSong" w:hAnsi="FangSong" w:cs="FangSong" w:eastAsia="FangSong"/>
          <w:sz w:val="28"/>
        </w:rPr>
        <w:t>二、风险修改建议</w:t>
      </w:r>
    </w:p>
    <w:p>
      <w:pPr>
        <w:spacing w:line="360" w:lineRule="auto" w:before="160" w:after="100"/>
        <w:jc w:val="left"/>
      </w:pPr>
      <w:r>
        <w:rPr>
          <w:b w:val="on"/>
          <w:i w:val="off"/>
          <w:u w:val="none"/>
          <w:strike w:val="off"/>
          <w:rFonts w:ascii="FangSong" w:hAnsi="FangSong" w:cs="FangSong" w:eastAsia="FangSong"/>
          <w:sz w:val="28"/>
        </w:rPr>
        <w:t>1. 高风险 - 主体信息风险</w:t>
      </w:r>
    </w:p>
    <w:p>
      <w:pPr>
        <w:spacing w:line="360" w:lineRule="auto"/>
        <w:jc w:val="left"/>
      </w:pPr>
      <w:r>
        <w:rPr>
          <w:b w:val="on"/>
          <w:i w:val="off"/>
          <w:u w:val="none"/>
          <w:strike w:val="off"/>
          <w:rFonts w:ascii="FangSong" w:hAnsi="FangSong" w:cs="FangSong" w:eastAsia="FangSong"/>
          <w:sz w:val="28"/>
        </w:rPr>
        <w:t>风险原文：</w:t>
      </w:r>
      <w:r>
        <w:rPr>
          <w:b w:val="off"/>
          <w:i w:val="off"/>
          <w:u w:val="none"/>
          <w:strike w:val="off"/>
          <w:rFonts w:ascii="FangSong" w:hAnsi="FangSong" w:cs="FangSong" w:eastAsia="FangSong"/>
          <w:sz w:val="28"/>
        </w:rPr>
        <w:t>甲方（委托方/广告主）：上海星禾品牌管理有限公司
住所地：上海市浦东新区陆家嘴环路1000号18层
联系人：李明
联系电话：021-68886666</w:t>
      </w:r>
    </w:p>
    <w:p>
      <w:pPr>
        <w:spacing w:line="360" w:lineRule="auto"/>
        <w:jc w:val="left"/>
      </w:pPr>
      <w:r>
        <w:rPr>
          <w:b w:val="on"/>
          <w:i w:val="off"/>
          <w:u w:val="none"/>
          <w:strike w:val="off"/>
          <w:rFonts w:ascii="FangSong" w:hAnsi="FangSong" w:cs="FangSong" w:eastAsia="FangSong"/>
          <w:sz w:val="28"/>
        </w:rPr>
        <w:t>风险原因：</w:t>
      </w:r>
      <w:r>
        <w:rPr>
          <w:b w:val="off"/>
          <w:i w:val="off"/>
          <w:u w:val="none"/>
          <w:strike w:val="off"/>
          <w:rFonts w:ascii="FangSong" w:hAnsi="FangSong" w:cs="FangSong" w:eastAsia="FangSong"/>
          <w:sz w:val="28"/>
        </w:rPr>
        <w:t>甲方未列明统一社会信用代码，无法验证主体真实性与合法性；联系人李明未明确其是否为法定代表人或授权代表，缺乏签字权限证明。</w:t>
      </w:r>
    </w:p>
    <w:p>
      <w:pPr>
        <w:spacing w:line="360" w:lineRule="auto"/>
        <w:jc w:val="left"/>
      </w:pPr>
      <w:r>
        <w:rPr>
          <w:b w:val="on"/>
          <w:i w:val="off"/>
          <w:u w:val="none"/>
          <w:strike w:val="off"/>
          <w:rFonts w:ascii="FangSong" w:hAnsi="FangSong" w:cs="FangSong" w:eastAsia="FangSong"/>
          <w:sz w:val="28"/>
        </w:rPr>
        <w:t>建议修改：</w:t>
      </w:r>
      <w:r>
        <w:rPr>
          <w:b w:val="off"/>
          <w:i w:val="off"/>
          <w:u w:val="none"/>
          <w:strike w:val="off"/>
          <w:rFonts w:ascii="FangSong" w:hAnsi="FangSong" w:cs="FangSong" w:eastAsia="FangSong"/>
          <w:sz w:val="28"/>
        </w:rPr>
        <w:t>补充甲方统一社会信用代码；明确李明身份（如‘法定代表人’或‘授权代表’），并附授权书作为附件。</w:t>
      </w:r>
    </w:p>
    <w:p>
      <w:pPr>
        <w:spacing w:line="360" w:lineRule="auto" w:before="160" w:after="100"/>
        <w:jc w:val="left"/>
      </w:pPr>
      <w:r>
        <w:rPr>
          <w:b w:val="on"/>
          <w:i w:val="off"/>
          <w:u w:val="none"/>
          <w:strike w:val="off"/>
          <w:rFonts w:ascii="FangSong" w:hAnsi="FangSong" w:cs="FangSong" w:eastAsia="FangSong"/>
          <w:sz w:val="28"/>
        </w:rPr>
        <w:t>2. 高风险 - 主体信息风险</w:t>
      </w:r>
    </w:p>
    <w:p>
      <w:pPr>
        <w:spacing w:line="360" w:lineRule="auto"/>
        <w:jc w:val="left"/>
      </w:pPr>
      <w:r>
        <w:rPr>
          <w:b w:val="on"/>
          <w:i w:val="off"/>
          <w:u w:val="none"/>
          <w:strike w:val="off"/>
          <w:rFonts w:ascii="FangSong" w:hAnsi="FangSong" w:cs="FangSong" w:eastAsia="FangSong"/>
          <w:sz w:val="28"/>
        </w:rPr>
        <w:t>风险原文：</w:t>
      </w:r>
      <w:r>
        <w:rPr>
          <w:b w:val="off"/>
          <w:i w:val="off"/>
          <w:u w:val="none"/>
          <w:strike w:val="off"/>
          <w:rFonts w:ascii="FangSong" w:hAnsi="FangSong" w:cs="FangSong" w:eastAsia="FangSong"/>
          <w:sz w:val="28"/>
        </w:rPr>
        <w:t>乙方（服务方/广告服务提供方）：北京云帆数字传媒有限公司
住所地：北京市朝阳区望京东路1号15层
联系人：王悦
联系电话：010-58660088</w:t>
      </w:r>
    </w:p>
    <w:p>
      <w:pPr>
        <w:spacing w:line="360" w:lineRule="auto"/>
        <w:jc w:val="left"/>
      </w:pPr>
      <w:r>
        <w:rPr>
          <w:b w:val="on"/>
          <w:i w:val="off"/>
          <w:u w:val="none"/>
          <w:strike w:val="off"/>
          <w:rFonts w:ascii="FangSong" w:hAnsi="FangSong" w:cs="FangSong" w:eastAsia="FangSong"/>
          <w:sz w:val="28"/>
        </w:rPr>
        <w:t>风险原因：</w:t>
      </w:r>
      <w:r>
        <w:rPr>
          <w:b w:val="off"/>
          <w:i w:val="off"/>
          <w:u w:val="none"/>
          <w:strike w:val="off"/>
          <w:rFonts w:ascii="FangSong" w:hAnsi="FangSong" w:cs="FangSong" w:eastAsia="FangSong"/>
          <w:sz w:val="28"/>
        </w:rPr>
        <w:t>乙方未列明统一社会信用代码；联系人王悦未说明其身份及签署权限，存在签约主体不适格风险。</w:t>
      </w:r>
    </w:p>
    <w:p>
      <w:pPr>
        <w:spacing w:line="360" w:lineRule="auto"/>
        <w:jc w:val="left"/>
      </w:pPr>
      <w:r>
        <w:rPr>
          <w:b w:val="on"/>
          <w:i w:val="off"/>
          <w:u w:val="none"/>
          <w:strike w:val="off"/>
          <w:rFonts w:ascii="FangSong" w:hAnsi="FangSong" w:cs="FangSong" w:eastAsia="FangSong"/>
          <w:sz w:val="28"/>
        </w:rPr>
        <w:t>建议修改：</w:t>
      </w:r>
      <w:r>
        <w:rPr>
          <w:b w:val="off"/>
          <w:i w:val="off"/>
          <w:u w:val="none"/>
          <w:strike w:val="off"/>
          <w:rFonts w:ascii="FangSong" w:hAnsi="FangSong" w:cs="FangSong" w:eastAsia="FangSong"/>
          <w:sz w:val="28"/>
        </w:rPr>
        <w:t>补充乙方统一社会信用代码；注明王悦为法定代表人或提供有效授权文件，并在签署页明确‘授权代表’身份。</w:t>
      </w:r>
    </w:p>
    <w:p>
      <w:pPr>
        <w:spacing w:line="360" w:lineRule="auto" w:before="160" w:after="100"/>
        <w:jc w:val="left"/>
      </w:pPr>
      <w:r>
        <w:rPr>
          <w:b w:val="on"/>
          <w:i w:val="off"/>
          <w:u w:val="none"/>
          <w:strike w:val="off"/>
          <w:rFonts w:ascii="FangSong" w:hAnsi="FangSong" w:cs="FangSong" w:eastAsia="FangSong"/>
          <w:sz w:val="28"/>
        </w:rPr>
        <w:t>3. 中风险 - 付款风险</w:t>
      </w:r>
    </w:p>
    <w:p>
      <w:pPr>
        <w:spacing w:line="360" w:lineRule="auto"/>
        <w:jc w:val="left"/>
      </w:pPr>
      <w:r>
        <w:rPr>
          <w:b w:val="on"/>
          <w:i w:val="off"/>
          <w:u w:val="none"/>
          <w:strike w:val="off"/>
          <w:rFonts w:ascii="FangSong" w:hAnsi="FangSong" w:cs="FangSong" w:eastAsia="FangSong"/>
          <w:sz w:val="28"/>
        </w:rPr>
        <w:t>风险原文：</w:t>
      </w:r>
      <w:r>
        <w:rPr>
          <w:b w:val="off"/>
          <w:i w:val="off"/>
          <w:u w:val="none"/>
          <w:strike w:val="off"/>
          <w:rFonts w:ascii="FangSong" w:hAnsi="FangSong" w:cs="FangSong" w:eastAsia="FangSong"/>
          <w:sz w:val="28"/>
        </w:rPr>
        <w:t>尾款人民币24000元，于服务成果验收或结算确认后5个工作日内支付。</w:t>
      </w:r>
    </w:p>
    <w:p>
      <w:pPr>
        <w:spacing w:line="360" w:lineRule="auto"/>
        <w:jc w:val="left"/>
      </w:pPr>
      <w:r>
        <w:rPr>
          <w:b w:val="on"/>
          <w:i w:val="off"/>
          <w:u w:val="none"/>
          <w:strike w:val="off"/>
          <w:rFonts w:ascii="FangSong" w:hAnsi="FangSong" w:cs="FangSong" w:eastAsia="FangSong"/>
          <w:sz w:val="28"/>
        </w:rPr>
        <w:t>风险原因：</w:t>
      </w:r>
      <w:r>
        <w:rPr>
          <w:b w:val="off"/>
          <w:i w:val="off"/>
          <w:u w:val="none"/>
          <w:strike w:val="off"/>
          <w:rFonts w:ascii="FangSong" w:hAnsi="FangSong" w:cs="FangSong" w:eastAsia="FangSong"/>
          <w:sz w:val="28"/>
        </w:rPr>
        <w:t>‘验收或结算确认’标准模糊，未明确以哪一方书面确认为准，亦未约定验收异议期届满即视为默认通过，易引发付款拖延争议。</w:t>
      </w:r>
    </w:p>
    <w:p>
      <w:pPr>
        <w:spacing w:line="360" w:lineRule="auto"/>
        <w:jc w:val="left"/>
      </w:pPr>
      <w:r>
        <w:rPr>
          <w:b w:val="on"/>
          <w:i w:val="off"/>
          <w:u w:val="none"/>
          <w:strike w:val="off"/>
          <w:rFonts w:ascii="FangSong" w:hAnsi="FangSong" w:cs="FangSong" w:eastAsia="FangSong"/>
          <w:sz w:val="28"/>
        </w:rPr>
        <w:t>建议修改：</w:t>
      </w:r>
      <w:r>
        <w:rPr>
          <w:b w:val="off"/>
          <w:i w:val="off"/>
          <w:u w:val="none"/>
          <w:strike w:val="off"/>
          <w:rFonts w:ascii="FangSong" w:hAnsi="FangSong" w:cs="FangSong" w:eastAsia="FangSong"/>
          <w:sz w:val="28"/>
        </w:rPr>
        <w:t>修改为‘甲方应在收到结案材料后5个工作日内完成验收并出具书面确认；逾期未提出书面异议的，视为验收合格，尾款应于第6个工作日支付’。</w:t>
      </w:r>
    </w:p>
    <w:p>
      <w:pPr>
        <w:spacing w:line="360" w:lineRule="auto" w:before="160" w:after="100"/>
        <w:jc w:val="left"/>
      </w:pPr>
      <w:r>
        <w:rPr>
          <w:b w:val="on"/>
          <w:i w:val="off"/>
          <w:u w:val="none"/>
          <w:strike w:val="off"/>
          <w:rFonts w:ascii="FangSong" w:hAnsi="FangSong" w:cs="FangSong" w:eastAsia="FangSong"/>
          <w:sz w:val="28"/>
        </w:rPr>
        <w:t>4. 中风险 - 付款风险</w:t>
      </w:r>
    </w:p>
    <w:p>
      <w:pPr>
        <w:spacing w:line="360" w:lineRule="auto"/>
        <w:jc w:val="left"/>
      </w:pPr>
      <w:r>
        <w:rPr>
          <w:b w:val="on"/>
          <w:i w:val="off"/>
          <w:u w:val="none"/>
          <w:strike w:val="off"/>
          <w:rFonts w:ascii="FangSong" w:hAnsi="FangSong" w:cs="FangSong" w:eastAsia="FangSong"/>
          <w:sz w:val="28"/>
        </w:rPr>
        <w:t>风险原文：</w:t>
      </w:r>
      <w:r>
        <w:rPr>
          <w:b w:val="off"/>
          <w:i w:val="off"/>
          <w:u w:val="none"/>
          <w:strike w:val="off"/>
          <w:rFonts w:ascii="FangSong" w:hAnsi="FangSong" w:cs="FangSong" w:eastAsia="FangSong"/>
          <w:sz w:val="28"/>
        </w:rPr>
        <w:t>乙方应按甲方要求提供合法有效的发票，发票类型为：增值税专用发票（税率6%）。</w:t>
      </w:r>
    </w:p>
    <w:p>
      <w:pPr>
        <w:spacing w:line="360" w:lineRule="auto"/>
        <w:jc w:val="left"/>
      </w:pPr>
      <w:r>
        <w:rPr>
          <w:b w:val="on"/>
          <w:i w:val="off"/>
          <w:u w:val="none"/>
          <w:strike w:val="off"/>
          <w:rFonts w:ascii="FangSong" w:hAnsi="FangSong" w:cs="FangSong" w:eastAsia="FangSong"/>
          <w:sz w:val="28"/>
        </w:rPr>
        <w:t>风险原因：</w:t>
      </w:r>
      <w:r>
        <w:rPr>
          <w:b w:val="off"/>
          <w:i w:val="off"/>
          <w:u w:val="none"/>
          <w:strike w:val="off"/>
          <w:rFonts w:ascii="FangSong" w:hAnsi="FangSong" w:cs="FangSong" w:eastAsia="FangSong"/>
          <w:sz w:val="28"/>
        </w:rPr>
        <w:t>未约定开票时间（如‘付款前开具’或‘收款后X日内开具’），亦未明确发票信息错误时的重开义务与责任，影响甲方财务合规与抵扣。</w:t>
      </w:r>
    </w:p>
    <w:p>
      <w:pPr>
        <w:spacing w:line="360" w:lineRule="auto"/>
        <w:jc w:val="left"/>
      </w:pPr>
      <w:r>
        <w:rPr>
          <w:b w:val="on"/>
          <w:i w:val="off"/>
          <w:u w:val="none"/>
          <w:strike w:val="off"/>
          <w:rFonts w:ascii="FangSong" w:hAnsi="FangSong" w:cs="FangSong" w:eastAsia="FangSong"/>
          <w:sz w:val="28"/>
        </w:rPr>
        <w:t>建议修改：</w:t>
      </w:r>
      <w:r>
        <w:rPr>
          <w:b w:val="off"/>
          <w:i w:val="off"/>
          <w:u w:val="none"/>
          <w:strike w:val="off"/>
          <w:rFonts w:ascii="FangSong" w:hAnsi="FangSong" w:cs="FangSong" w:eastAsia="FangSong"/>
          <w:sz w:val="28"/>
        </w:rPr>
        <w:t>补充‘乙方应于每期付款前至少2个工作日向甲方开具等额、合规的增值税专用发票；发票信息有误的，须在甲方通知后1个工作日内无偿重开’。</w:t>
      </w:r>
    </w:p>
    <w:p>
      <w:pPr>
        <w:spacing w:line="360" w:lineRule="auto" w:before="160" w:after="100"/>
        <w:jc w:val="left"/>
      </w:pPr>
      <w:r>
        <w:rPr>
          <w:b w:val="on"/>
          <w:i w:val="off"/>
          <w:u w:val="none"/>
          <w:strike w:val="off"/>
          <w:rFonts w:ascii="FangSong" w:hAnsi="FangSong" w:cs="FangSong" w:eastAsia="FangSong"/>
          <w:sz w:val="28"/>
        </w:rPr>
        <w:t>5. 高风险 - 争议解决风险</w:t>
      </w:r>
    </w:p>
    <w:p>
      <w:pPr>
        <w:spacing w:line="360" w:lineRule="auto"/>
        <w:jc w:val="left"/>
      </w:pPr>
      <w:r>
        <w:rPr>
          <w:b w:val="on"/>
          <w:i w:val="off"/>
          <w:u w:val="none"/>
          <w:strike w:val="off"/>
          <w:rFonts w:ascii="FangSong" w:hAnsi="FangSong" w:cs="FangSong" w:eastAsia="FangSong"/>
          <w:sz w:val="28"/>
        </w:rPr>
        <w:t>风险原文：</w:t>
      </w:r>
      <w:r>
        <w:rPr>
          <w:b w:val="off"/>
          <w:i w:val="off"/>
          <w:u w:val="none"/>
          <w:strike w:val="off"/>
          <w:rFonts w:ascii="FangSong" w:hAnsi="FangSong" w:cs="FangSong" w:eastAsia="FangSong"/>
          <w:sz w:val="28"/>
        </w:rPr>
        <w:t>双方因本合同产生争议的，应先协商解决；协商不成的，可向北京市朝阳区人民法院提起诉讼，或向北京仲裁委员会申请仲裁，以双方最终书面约定为准。</w:t>
      </w:r>
    </w:p>
    <w:p>
      <w:pPr>
        <w:spacing w:line="360" w:lineRule="auto"/>
        <w:jc w:val="left"/>
      </w:pPr>
      <w:r>
        <w:rPr>
          <w:b w:val="on"/>
          <w:i w:val="off"/>
          <w:u w:val="none"/>
          <w:strike w:val="off"/>
          <w:rFonts w:ascii="FangSong" w:hAnsi="FangSong" w:cs="FangSong" w:eastAsia="FangSong"/>
          <w:sz w:val="28"/>
        </w:rPr>
        <w:t>风险原因：</w:t>
      </w:r>
      <w:r>
        <w:rPr>
          <w:b w:val="off"/>
          <w:i w:val="off"/>
          <w:u w:val="none"/>
          <w:strike w:val="off"/>
          <w:rFonts w:ascii="FangSong" w:hAnsi="FangSong" w:cs="FangSong" w:eastAsia="FangSong"/>
          <w:sz w:val="28"/>
        </w:rPr>
        <w:t>争议解决方式同时约定诉讼与仲裁，且未作排他性选择（如‘或裁或审’条款无效），违反《仲裁法》第十八条，导致条款整体无效，争议解决路径不确定。</w:t>
      </w:r>
    </w:p>
    <w:p>
      <w:pPr>
        <w:spacing w:line="360" w:lineRule="auto"/>
        <w:jc w:val="left"/>
      </w:pPr>
      <w:r>
        <w:rPr>
          <w:b w:val="on"/>
          <w:i w:val="off"/>
          <w:u w:val="none"/>
          <w:strike w:val="off"/>
          <w:rFonts w:ascii="FangSong" w:hAnsi="FangSong" w:cs="FangSong" w:eastAsia="FangSong"/>
          <w:sz w:val="28"/>
        </w:rPr>
        <w:t>建议修改：</w:t>
      </w:r>
      <w:r>
        <w:rPr>
          <w:b w:val="off"/>
          <w:i w:val="off"/>
          <w:u w:val="none"/>
          <w:strike w:val="off"/>
          <w:rFonts w:ascii="FangSong" w:hAnsi="FangSong" w:cs="FangSong" w:eastAsia="FangSong"/>
          <w:sz w:val="28"/>
        </w:rPr>
        <w:t>删除‘或’字，明确唯一路径，例如‘协商不成的，任何一方均有权向北京市朝阳区人民法院提起诉讼’；若选仲裁，须删除法院管辖表述并明确‘提交北京仲裁委员会仲裁’。</w:t>
      </w:r>
    </w:p>
    <w:p>
      <w:pPr>
        <w:spacing w:line="360" w:lineRule="auto" w:before="160" w:after="100"/>
        <w:jc w:val="left"/>
      </w:pPr>
      <w:r>
        <w:rPr>
          <w:b w:val="on"/>
          <w:i w:val="off"/>
          <w:u w:val="none"/>
          <w:strike w:val="off"/>
          <w:rFonts w:ascii="FangSong" w:hAnsi="FangSong" w:cs="FangSong" w:eastAsia="FangSong"/>
          <w:sz w:val="28"/>
        </w:rPr>
        <w:t>6. 中风险 - 期限风险</w:t>
      </w:r>
    </w:p>
    <w:p>
      <w:pPr>
        <w:spacing w:line="360" w:lineRule="auto"/>
        <w:jc w:val="left"/>
      </w:pPr>
      <w:r>
        <w:rPr>
          <w:b w:val="on"/>
          <w:i w:val="off"/>
          <w:u w:val="none"/>
          <w:strike w:val="off"/>
          <w:rFonts w:ascii="FangSong" w:hAnsi="FangSong" w:cs="FangSong" w:eastAsia="FangSong"/>
          <w:sz w:val="28"/>
        </w:rPr>
        <w:t>风险原文：</w:t>
      </w:r>
      <w:r>
        <w:rPr>
          <w:b w:val="off"/>
          <w:i w:val="off"/>
          <w:u w:val="none"/>
          <w:strike w:val="off"/>
          <w:rFonts w:ascii="FangSong" w:hAnsi="FangSong" w:cs="FangSong" w:eastAsia="FangSong"/>
          <w:sz w:val="28"/>
        </w:rPr>
        <w:t>本合同服务期限自2026年7月1日起至2026年9月30日止。期限届满后，双方可另行协商续签或补充约定。</w:t>
      </w:r>
    </w:p>
    <w:p>
      <w:pPr>
        <w:spacing w:line="360" w:lineRule="auto"/>
        <w:jc w:val="left"/>
      </w:pPr>
      <w:r>
        <w:rPr>
          <w:b w:val="on"/>
          <w:i w:val="off"/>
          <w:u w:val="none"/>
          <w:strike w:val="off"/>
          <w:rFonts w:ascii="FangSong" w:hAnsi="FangSong" w:cs="FangSong" w:eastAsia="FangSong"/>
          <w:sz w:val="28"/>
        </w:rPr>
        <w:t>风险原因：</w:t>
      </w:r>
      <w:r>
        <w:rPr>
          <w:b w:val="off"/>
          <w:i w:val="off"/>
          <w:u w:val="none"/>
          <w:strike w:val="off"/>
          <w:rFonts w:ascii="FangSong" w:hAnsi="FangSong" w:cs="FangSong" w:eastAsia="FangSong"/>
          <w:sz w:val="28"/>
        </w:rPr>
        <w:t>未约定合同终止后尚未执行完毕的投放义务（如跨期广告投放、数据监测延续等）如何处理，亦无自动终止或默认延期排除机制。</w:t>
      </w:r>
    </w:p>
    <w:p>
      <w:pPr>
        <w:spacing w:line="360" w:lineRule="auto"/>
        <w:jc w:val="left"/>
      </w:pPr>
      <w:r>
        <w:rPr>
          <w:b w:val="on"/>
          <w:i w:val="off"/>
          <w:u w:val="none"/>
          <w:strike w:val="off"/>
          <w:rFonts w:ascii="FangSong" w:hAnsi="FangSong" w:cs="FangSong" w:eastAsia="FangSong"/>
          <w:sz w:val="28"/>
        </w:rPr>
        <w:t>建议修改：</w:t>
      </w:r>
      <w:r>
        <w:rPr>
          <w:b w:val="off"/>
          <w:i w:val="off"/>
          <w:u w:val="none"/>
          <w:strike w:val="off"/>
          <w:rFonts w:ascii="FangSong" w:hAnsi="FangSong" w:cs="FangSong" w:eastAsia="FangSong"/>
          <w:sz w:val="28"/>
        </w:rPr>
        <w:t>补充‘服务期限届满时，如广告投放尚未完成或数据监测周期未满，乙方应继续履行至该等事项实际完结，但费用不额外增加；除非双方另行书面约定’。</w:t>
      </w:r>
    </w:p>
    <w:p>
      <w:pPr>
        <w:spacing w:line="360" w:lineRule="auto" w:before="160" w:after="100"/>
        <w:jc w:val="left"/>
      </w:pPr>
      <w:r>
        <w:rPr>
          <w:b w:val="on"/>
          <w:i w:val="off"/>
          <w:u w:val="none"/>
          <w:strike w:val="off"/>
          <w:rFonts w:ascii="FangSong" w:hAnsi="FangSong" w:cs="FangSong" w:eastAsia="FangSong"/>
          <w:sz w:val="28"/>
        </w:rPr>
        <w:t>7. 中风险 - 违约风险</w:t>
      </w:r>
    </w:p>
    <w:p>
      <w:pPr>
        <w:spacing w:line="360" w:lineRule="auto"/>
        <w:jc w:val="left"/>
      </w:pPr>
      <w:r>
        <w:rPr>
          <w:b w:val="on"/>
          <w:i w:val="off"/>
          <w:u w:val="none"/>
          <w:strike w:val="off"/>
          <w:rFonts w:ascii="FangSong" w:hAnsi="FangSong" w:cs="FangSong" w:eastAsia="FangSong"/>
          <w:sz w:val="28"/>
        </w:rPr>
        <w:t>风险原文：</w:t>
      </w:r>
      <w:r>
        <w:rPr>
          <w:b w:val="off"/>
          <w:i w:val="off"/>
          <w:u w:val="none"/>
          <w:strike w:val="off"/>
          <w:rFonts w:ascii="FangSong" w:hAnsi="FangSong" w:cs="FangSong" w:eastAsia="FangSong"/>
          <w:sz w:val="28"/>
        </w:rPr>
        <w:t>甲方逾期支付费用的，每逾期一日，应按逾期未付款金额的万分之五向乙方支付违约金；逾期超过15日的，乙方有权暂停服务或解除合同。</w:t>
      </w:r>
    </w:p>
    <w:p>
      <w:pPr>
        <w:spacing w:line="360" w:lineRule="auto"/>
        <w:jc w:val="left"/>
      </w:pPr>
      <w:r>
        <w:rPr>
          <w:b w:val="on"/>
          <w:i w:val="off"/>
          <w:u w:val="none"/>
          <w:strike w:val="off"/>
          <w:rFonts w:ascii="FangSong" w:hAnsi="FangSong" w:cs="FangSong" w:eastAsia="FangSong"/>
          <w:sz w:val="28"/>
        </w:rPr>
        <w:t>风险原因：</w:t>
      </w:r>
      <w:r>
        <w:rPr>
          <w:b w:val="off"/>
          <w:i w:val="off"/>
          <w:u w:val="none"/>
          <w:strike w:val="off"/>
          <w:rFonts w:ascii="FangSong" w:hAnsi="FangSong" w:cs="FangSong" w:eastAsia="FangSong"/>
          <w:sz w:val="28"/>
        </w:rPr>
        <w:t>仅单方约定甲方逾期付款违约责任，未对乙方延迟交付、服务质量不达标、数据造假等核心履约违约情形设定对应违约金或赔偿计算标准，权利义务失衡。</w:t>
      </w:r>
    </w:p>
    <w:p>
      <w:pPr>
        <w:spacing w:line="360" w:lineRule="auto"/>
        <w:jc w:val="left"/>
      </w:pPr>
      <w:r>
        <w:rPr>
          <w:b w:val="on"/>
          <w:i w:val="off"/>
          <w:u w:val="none"/>
          <w:strike w:val="off"/>
          <w:rFonts w:ascii="FangSong" w:hAnsi="FangSong" w:cs="FangSong" w:eastAsia="FangSong"/>
          <w:sz w:val="28"/>
        </w:rPr>
        <w:t>建议修改：</w:t>
      </w:r>
      <w:r>
        <w:rPr>
          <w:b w:val="off"/>
          <w:i w:val="off"/>
          <w:u w:val="none"/>
          <w:strike w:val="off"/>
          <w:rFonts w:ascii="FangSong" w:hAnsi="FangSong" w:cs="FangSong" w:eastAsia="FangSong"/>
          <w:sz w:val="28"/>
        </w:rPr>
        <w:t>在第七条第2款中补充乙方实质性违约（如关键节点延误超3日、核心KPI未达约定值80%、数据严重失实）的违约金标准（建议按当期费用10%-20%计）及甲方解约权。</w:t>
      </w:r>
    </w:p>
    <w:sectPr>
      <w:pgSz w:w="11906" w:h="16838"/>
      <w:pgMar w:top="1440" w:bottom="1440" w:left="1803" w:right="1803"/>
    </w:sectPr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2026-06-23T12:27:09Z</dcterms:created>
  <dc:creator>Apache POI</dc:creator>
</cp:coreProperties>
</file>