
<file path=[Content_Types].xml><?xml version="1.0" encoding="utf-8"?>
<Types xmlns="http://schemas.openxmlformats.org/package/2006/content-types">
  <Default ContentType="application/vnd.openxmlformats-package.relationships+xml" Extension="rels"/>
  <Default ContentType="application/xml" Extension="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settings+xml" PartName="/word/settings.xml"/>
</Types>
</file>

<file path=_rels/.rels><?xml version="1.0" encoding="UTF-8" standalone="yes"?><Relationships xmlns="http://schemas.openxmlformats.org/package/2006/relationships"><Relationship Id="rId1" Target="word/document.xml" Type="http://schemas.openxmlformats.org/officeDocument/2006/relationships/officeDocument"/><Relationship Id="rId2" Target="docProps/app.xml" Type="http://schemas.openxmlformats.org/officeDocument/2006/relationships/extended-properties"/><Relationship Id="rId3" Target="docProps/core.xml" Type="http://schemas.openxmlformats.org/package/2006/relationships/metadata/core-properties"/></Relationships>
</file>

<file path=word/document.xml><?xml version="1.0" encoding="utf-8"?>
<w:document xmlns:w="http://schemas.openxmlformats.org/wordprocessingml/2006/main">
  <w:body>
    <w:p>
      <w:pPr>
        <w:spacing w:line="360" w:lineRule="auto" w:after="240"/>
        <w:jc w:val="center"/>
      </w:pPr>
      <w:r>
        <w:rPr>
          <w:b w:val="on"/>
          <w:i w:val="off"/>
          <w:u w:val="none"/>
          <w:strike w:val="off"/>
          <w:rFonts w:ascii="FangSong" w:hAnsi="FangSong" w:cs="FangSong" w:eastAsia="FangSong"/>
          <w:sz w:val="36"/>
        </w:rPr>
        <w:t>合同风险审查报告</w:t>
      </w:r>
    </w:p>
    <w:p>
      <w:pPr>
        <w:spacing w:line="360" w:lineRule="auto" w:before="160" w:after="100"/>
        <w:jc w:val="left"/>
      </w:pPr>
      <w:r>
        <w:rPr>
          <w:b w:val="on"/>
          <w:i w:val="off"/>
          <w:u w:val="none"/>
          <w:strike w:val="off"/>
          <w:rFonts w:ascii="FangSong" w:hAnsi="FangSong" w:cs="FangSong" w:eastAsia="FangSong"/>
          <w:sz w:val="28"/>
        </w:rPr>
        <w:t>一、报告概览</w:t>
      </w:r>
    </w:p>
    <w:tbl>
      <w:tblPr>
        <w:tblW w:w="0" w:type="auto"/>
        <w:tblBorders>
          <w:top w:val="single"/>
          <w:left w:val="single"/>
          <w:bottom w:val="single"/>
          <w:right w:val="single"/>
          <w:insideH w:val="single"/>
          <w:insideV w:val="single"/>
        </w:tblBorders>
      </w:tblPr>
      <w:tr>
        <w:tc>
          <w:p>
            <w:pPr>
              <w:spacing w:line="360" w:lineRule="auto"/>
              <w:jc w:val="left"/>
            </w:pPr>
            <w:r>
              <w:rPr>
                <w:rFonts w:ascii="FangSong" w:hAnsi="FangSong" w:cs="FangSong" w:eastAsia="FangSong"/>
                <w:sz w:val="28"/>
              </w:rPr>
              <w:t>报告编号</w:t>
            </w:r>
          </w:p>
        </w:tc>
        <w:tc>
          <w:p>
            <w:pPr>
              <w:spacing w:line="360" w:lineRule="auto"/>
              <w:jc w:val="left"/>
            </w:pPr>
            <w:r>
              <w:rPr>
                <w:rFonts w:ascii="FangSong" w:hAnsi="FangSong" w:cs="FangSong" w:eastAsia="FangSong"/>
                <w:sz w:val="28"/>
              </w:rPr>
              <w:t>RISK-V9-20260623221604</w:t>
            </w:r>
          </w:p>
        </w:tc>
      </w:tr>
      <w:tr>
        <w:tc>
          <w:p>
            <w:pPr>
              <w:spacing w:line="360" w:lineRule="auto"/>
              <w:jc w:val="left"/>
            </w:pPr>
            <w:r>
              <w:rPr>
                <w:rFonts w:ascii="FangSong" w:hAnsi="FangSong" w:cs="FangSong" w:eastAsia="FangSong"/>
                <w:sz w:val="28"/>
              </w:rPr>
              <w:t>关联草稿版本</w:t>
            </w:r>
          </w:p>
        </w:tc>
        <w:tc>
          <w:p>
            <w:pPr>
              <w:spacing w:line="360" w:lineRule="auto"/>
              <w:jc w:val="left"/>
            </w:pPr>
            <w:r>
              <w:rPr>
                <w:rFonts w:ascii="FangSong" w:hAnsi="FangSong" w:cs="FangSong" w:eastAsia="FangSong"/>
                <w:sz w:val="28"/>
              </w:rPr>
              <w:t>#43</w:t>
            </w:r>
          </w:p>
        </w:tc>
      </w:tr>
      <w:tr>
        <w:tc>
          <w:p>
            <w:pPr>
              <w:spacing w:line="360" w:lineRule="auto"/>
              <w:jc w:val="left"/>
            </w:pPr>
            <w:r>
              <w:rPr>
                <w:rFonts w:ascii="FangSong" w:hAnsi="FangSong" w:cs="FangSong" w:eastAsia="FangSong"/>
                <w:sz w:val="28"/>
              </w:rPr>
              <w:t>合同类型</w:t>
            </w:r>
          </w:p>
        </w:tc>
        <w:tc>
          <w:p>
            <w:pPr>
              <w:spacing w:line="360" w:lineRule="auto"/>
              <w:jc w:val="left"/>
            </w:pPr>
            <w:r>
              <w:rPr>
                <w:rFonts w:ascii="FangSong" w:hAnsi="FangSong" w:cs="FangSong" w:eastAsia="FangSong"/>
                <w:sz w:val="28"/>
              </w:rPr>
              <w:t/>
            </w:r>
          </w:p>
        </w:tc>
      </w:tr>
      <w:tr>
        <w:tc>
          <w:p>
            <w:pPr>
              <w:spacing w:line="360" w:lineRule="auto"/>
              <w:jc w:val="left"/>
            </w:pPr>
            <w:r>
              <w:rPr>
                <w:rFonts w:ascii="FangSong" w:hAnsi="FangSong" w:cs="FangSong" w:eastAsia="FangSong"/>
                <w:sz w:val="28"/>
              </w:rPr>
              <w:t>甲方</w:t>
            </w:r>
          </w:p>
        </w:tc>
        <w:tc>
          <w:p>
            <w:pPr>
              <w:spacing w:line="360" w:lineRule="auto"/>
              <w:jc w:val="left"/>
            </w:pPr>
            <w:r>
              <w:rPr>
                <w:rFonts w:ascii="FangSong" w:hAnsi="FangSong" w:cs="FangSong" w:eastAsia="FangSong"/>
                <w:sz w:val="28"/>
              </w:rPr>
              <w:t>（委托方/广告主）：上海星禾品牌管理有限公司 住所地：上海市浦东新区陆家嘴环路1000号18层</w:t>
            </w:r>
          </w:p>
        </w:tc>
      </w:tr>
      <w:tr>
        <w:tc>
          <w:p>
            <w:pPr>
              <w:spacing w:line="360" w:lineRule="auto"/>
              <w:jc w:val="left"/>
            </w:pPr>
            <w:r>
              <w:rPr>
                <w:rFonts w:ascii="FangSong" w:hAnsi="FangSong" w:cs="FangSong" w:eastAsia="FangSong"/>
                <w:sz w:val="28"/>
              </w:rPr>
              <w:t>乙方</w:t>
            </w:r>
          </w:p>
        </w:tc>
        <w:tc>
          <w:p>
            <w:pPr>
              <w:spacing w:line="360" w:lineRule="auto"/>
              <w:jc w:val="left"/>
            </w:pPr>
            <w:r>
              <w:rPr>
                <w:rFonts w:ascii="FangSong" w:hAnsi="FangSong" w:cs="FangSong" w:eastAsia="FangSong"/>
                <w:sz w:val="28"/>
              </w:rPr>
              <w:t>上海顺通达物流有限公司</w:t>
            </w:r>
          </w:p>
        </w:tc>
      </w:tr>
      <w:tr>
        <w:tc>
          <w:p>
            <w:pPr>
              <w:spacing w:line="360" w:lineRule="auto"/>
              <w:jc w:val="left"/>
            </w:pPr>
            <w:r>
              <w:rPr>
                <w:rFonts w:ascii="FangSong" w:hAnsi="FangSong" w:cs="FangSong" w:eastAsia="FangSong"/>
                <w:sz w:val="28"/>
              </w:rPr>
              <w:t>业务范围</w:t>
            </w:r>
          </w:p>
        </w:tc>
        <w:tc>
          <w:p>
            <w:pPr>
              <w:spacing w:line="360" w:lineRule="auto"/>
              <w:jc w:val="left"/>
            </w:pPr>
            <w:r>
              <w:rPr>
                <w:rFonts w:ascii="FangSong" w:hAnsi="FangSong" w:cs="FangSong" w:eastAsia="FangSong"/>
                <w:sz w:val="28"/>
              </w:rPr>
              <w:t>test</w:t>
            </w:r>
          </w:p>
        </w:tc>
      </w:tr>
      <w:tr>
        <w:tc>
          <w:p>
            <w:pPr>
              <w:spacing w:line="360" w:lineRule="auto"/>
              <w:jc w:val="left"/>
            </w:pPr>
            <w:r>
              <w:rPr>
                <w:rFonts w:ascii="FangSong" w:hAnsi="FangSong" w:cs="FangSong" w:eastAsia="FangSong"/>
                <w:sz w:val="28"/>
              </w:rPr>
              <w:t>最高风险等级</w:t>
            </w:r>
          </w:p>
        </w:tc>
        <w:tc>
          <w:p>
            <w:pPr>
              <w:spacing w:line="360" w:lineRule="auto"/>
              <w:jc w:val="left"/>
            </w:pPr>
            <w:r>
              <w:rPr>
                <w:rFonts w:ascii="FangSong" w:hAnsi="FangSong" w:cs="FangSong" w:eastAsia="FangSong"/>
                <w:sz w:val="28"/>
              </w:rPr>
              <w:t>高风险</w:t>
            </w:r>
          </w:p>
        </w:tc>
      </w:tr>
      <w:tr>
        <w:tc>
          <w:p>
            <w:pPr>
              <w:spacing w:line="360" w:lineRule="auto"/>
              <w:jc w:val="left"/>
            </w:pPr>
            <w:r>
              <w:rPr>
                <w:rFonts w:ascii="FangSong" w:hAnsi="FangSong" w:cs="FangSong" w:eastAsia="FangSong"/>
                <w:sz w:val="28"/>
              </w:rPr>
              <w:t>风险总数</w:t>
            </w:r>
          </w:p>
        </w:tc>
        <w:tc>
          <w:p>
            <w:pPr>
              <w:spacing w:line="360" w:lineRule="auto"/>
              <w:jc w:val="left"/>
            </w:pPr>
            <w:r>
              <w:rPr>
                <w:rFonts w:ascii="FangSong" w:hAnsi="FangSong" w:cs="FangSong" w:eastAsia="FangSong"/>
                <w:sz w:val="28"/>
              </w:rPr>
              <w:t>5</w:t>
            </w:r>
          </w:p>
        </w:tc>
      </w:tr>
      <w:tr>
        <w:tc>
          <w:p>
            <w:pPr>
              <w:spacing w:line="360" w:lineRule="auto"/>
              <w:jc w:val="left"/>
            </w:pPr>
            <w:r>
              <w:rPr>
                <w:rFonts w:ascii="FangSong" w:hAnsi="FangSong" w:cs="FangSong" w:eastAsia="FangSong"/>
                <w:sz w:val="28"/>
              </w:rPr>
              <w:t>高 / 中 / 低风险</w:t>
            </w:r>
          </w:p>
        </w:tc>
        <w:tc>
          <w:p>
            <w:pPr>
              <w:spacing w:line="360" w:lineRule="auto"/>
              <w:jc w:val="left"/>
            </w:pPr>
            <w:r>
              <w:rPr>
                <w:rFonts w:ascii="FangSong" w:hAnsi="FangSong" w:cs="FangSong" w:eastAsia="FangSong"/>
                <w:sz w:val="28"/>
              </w:rPr>
              <w:t>4 / 1 / 0</w:t>
            </w:r>
          </w:p>
        </w:tc>
      </w:tr>
      <w:tr>
        <w:tc>
          <w:p>
            <w:pPr>
              <w:spacing w:line="360" w:lineRule="auto"/>
              <w:jc w:val="left"/>
            </w:pPr>
            <w:r>
              <w:rPr>
                <w:rFonts w:ascii="FangSong" w:hAnsi="FangSong" w:cs="FangSong" w:eastAsia="FangSong"/>
                <w:sz w:val="28"/>
              </w:rPr>
              <w:t>摘要</w:t>
            </w:r>
          </w:p>
        </w:tc>
        <w:tc>
          <w:p>
            <w:pPr>
              <w:spacing w:line="360" w:lineRule="auto"/>
              <w:jc w:val="left"/>
            </w:pPr>
            <w:r>
              <w:rPr>
                <w:rFonts w:ascii="FangSong" w:hAnsi="FangSong" w:cs="FangSong" w:eastAsia="FangSong"/>
                <w:sz w:val="28"/>
              </w:rPr>
              <w:t>风险审查完成，共发现 5 项风险，其中高风险 4 项、中风险 1 项、低风险 0 项。</w:t>
            </w:r>
          </w:p>
        </w:tc>
      </w:tr>
      <w:tr>
        <w:tc>
          <w:p>
            <w:pPr>
              <w:spacing w:line="360" w:lineRule="auto"/>
              <w:jc w:val="left"/>
            </w:pPr>
            <w:r>
              <w:rPr>
                <w:rFonts w:ascii="FangSong" w:hAnsi="FangSong" w:cs="FangSong" w:eastAsia="FangSong"/>
                <w:sz w:val="28"/>
              </w:rPr>
              <w:t>模型</w:t>
            </w:r>
          </w:p>
        </w:tc>
        <w:tc>
          <w:p>
            <w:pPr>
              <w:spacing w:line="360" w:lineRule="auto"/>
              <w:jc w:val="left"/>
            </w:pPr>
            <w:r>
              <w:rPr>
                <w:rFonts w:ascii="FangSong" w:hAnsi="FangSong" w:cs="FangSong" w:eastAsia="FangSong"/>
                <w:sz w:val="28"/>
              </w:rPr>
              <w:t>Qwen</w:t>
            </w:r>
          </w:p>
        </w:tc>
      </w:tr>
      <w:tr>
        <w:tc>
          <w:p>
            <w:pPr>
              <w:spacing w:line="360" w:lineRule="auto"/>
              <w:jc w:val="left"/>
            </w:pPr>
            <w:r>
              <w:rPr>
                <w:rFonts w:ascii="FangSong" w:hAnsi="FangSong" w:cs="FangSong" w:eastAsia="FangSong"/>
                <w:sz w:val="28"/>
              </w:rPr>
              <w:t>审查人</w:t>
            </w:r>
          </w:p>
        </w:tc>
        <w:tc>
          <w:p>
            <w:pPr>
              <w:spacing w:line="360" w:lineRule="auto"/>
              <w:jc w:val="left"/>
            </w:pPr>
            <w:r>
              <w:rPr>
                <w:rFonts w:ascii="FangSong" w:hAnsi="FangSong" w:cs="FangSong" w:eastAsia="FangSong"/>
                <w:sz w:val="28"/>
              </w:rPr>
              <w:t>admin</w:t>
            </w:r>
          </w:p>
        </w:tc>
      </w:tr>
      <w:tr>
        <w:tc>
          <w:p>
            <w:pPr>
              <w:spacing w:line="360" w:lineRule="auto"/>
              <w:jc w:val="left"/>
            </w:pPr>
            <w:r>
              <w:rPr>
                <w:rFonts w:ascii="FangSong" w:hAnsi="FangSong" w:cs="FangSong" w:eastAsia="FangSong"/>
                <w:sz w:val="28"/>
              </w:rPr>
              <w:t>生成时间</w:t>
            </w:r>
          </w:p>
        </w:tc>
        <w:tc>
          <w:p>
            <w:pPr>
              <w:spacing w:line="360" w:lineRule="auto"/>
              <w:jc w:val="left"/>
            </w:pPr>
            <w:r>
              <w:rPr>
                <w:rFonts w:ascii="FangSong" w:hAnsi="FangSong" w:cs="FangSong" w:eastAsia="FangSong"/>
                <w:sz w:val="28"/>
              </w:rPr>
              <w:t>2026-06-23 22:16:04</w:t>
            </w:r>
          </w:p>
        </w:tc>
      </w:tr>
    </w:tbl>
    <w:p>
      <w:pPr>
        <w:spacing w:line="360" w:lineRule="auto" w:before="160" w:after="100"/>
        <w:jc w:val="left"/>
      </w:pPr>
      <w:r>
        <w:rPr>
          <w:b w:val="on"/>
          <w:i w:val="off"/>
          <w:u w:val="none"/>
          <w:strike w:val="off"/>
          <w:rFonts w:ascii="FangSong" w:hAnsi="FangSong" w:cs="FangSong" w:eastAsia="FangSong"/>
          <w:sz w:val="28"/>
        </w:rPr>
        <w:t>二、风险修改建议</w:t>
      </w:r>
    </w:p>
    <w:p>
      <w:pPr>
        <w:spacing w:line="360" w:lineRule="auto" w:before="160" w:after="100"/>
        <w:jc w:val="left"/>
      </w:pPr>
      <w:r>
        <w:rPr>
          <w:b w:val="on"/>
          <w:i w:val="off"/>
          <w:u w:val="none"/>
          <w:strike w:val="off"/>
          <w:rFonts w:ascii="FangSong" w:hAnsi="FangSong" w:cs="FangSong" w:eastAsia="FangSong"/>
          <w:sz w:val="28"/>
        </w:rPr>
        <w:t>1. 高风险 - 主体信息风险</w:t>
      </w:r>
    </w:p>
    <w:p>
      <w:pPr>
        <w:spacing w:line="360" w:lineRule="auto"/>
        <w:jc w:val="left"/>
      </w:pPr>
      <w:r>
        <w:rPr>
          <w:b w:val="on"/>
          <w:i w:val="off"/>
          <w:u w:val="none"/>
          <w:strike w:val="off"/>
          <w:rFonts w:ascii="FangSong" w:hAnsi="FangSong" w:cs="FangSong" w:eastAsia="FangSong"/>
          <w:sz w:val="28"/>
        </w:rPr>
        <w:t>风险原文：</w:t>
      </w:r>
      <w:r>
        <w:rPr>
          <w:b w:val="off"/>
          <w:i w:val="off"/>
          <w:u w:val="none"/>
          <w:strike w:val="off"/>
          <w:rFonts w:ascii="FangSong" w:hAnsi="FangSong" w:cs="FangSong" w:eastAsia="FangSong"/>
          <w:sz w:val="28"/>
        </w:rPr>
        <w:t>甲方（委托方/广告主）：上海星禾品牌管理有限公司
住所地：上海市浦东新区陆家嘴环路1000号18层
联系人：李明
联系电话：021-68886666
乙方（服务方/广告服务提供方）：北京云帆数字传媒有限公司
住所地：北京市朝阳区望京东路1号15层
联系人：王悦
联系电话：010-58660088</w:t>
      </w:r>
    </w:p>
    <w:p>
      <w:pPr>
        <w:spacing w:line="360" w:lineRule="auto"/>
        <w:jc w:val="left"/>
      </w:pPr>
      <w:r>
        <w:rPr>
          <w:b w:val="on"/>
          <w:i w:val="off"/>
          <w:u w:val="none"/>
          <w:strike w:val="off"/>
          <w:rFonts w:ascii="FangSong" w:hAnsi="FangSong" w:cs="FangSong" w:eastAsia="FangSong"/>
          <w:sz w:val="28"/>
        </w:rPr>
        <w:t>风险原因：</w:t>
      </w:r>
      <w:r>
        <w:rPr>
          <w:b w:val="off"/>
          <w:i w:val="off"/>
          <w:u w:val="none"/>
          <w:strike w:val="off"/>
          <w:rFonts w:ascii="FangSong" w:hAnsi="FangSong" w:cs="FangSong" w:eastAsia="FangSong"/>
          <w:sz w:val="28"/>
        </w:rPr>
        <w:t>主体信息中缺失统一社会信用代码，无法验证签约主体合法性及资质；联系人未明确是否为法定代表人或授权代表，无授权文件佐证其签署权限。</w:t>
      </w:r>
    </w:p>
    <w:p>
      <w:pPr>
        <w:spacing w:line="360" w:lineRule="auto"/>
        <w:jc w:val="left"/>
      </w:pPr>
      <w:r>
        <w:rPr>
          <w:b w:val="on"/>
          <w:i w:val="off"/>
          <w:u w:val="none"/>
          <w:strike w:val="off"/>
          <w:rFonts w:ascii="FangSong" w:hAnsi="FangSong" w:cs="FangSong" w:eastAsia="FangSong"/>
          <w:sz w:val="28"/>
        </w:rPr>
        <w:t>修改建议：</w:t>
      </w:r>
      <w:r>
        <w:rPr>
          <w:b w:val="off"/>
          <w:i w:val="off"/>
          <w:u w:val="none"/>
          <w:strike w:val="off"/>
          <w:rFonts w:ascii="FangSong" w:hAnsi="FangSong" w:cs="FangSong" w:eastAsia="FangSong"/>
          <w:sz w:val="28"/>
        </w:rPr>
        <w:t>应在甲乙双方信息处补充统一社会信用代码，并注明‘法定代表人’或‘授权代表’身份；建议在签署页增加‘授权代表已获公司有效授权’声明或附件授权书。</w:t>
      </w:r>
    </w:p>
    <w:p>
      <w:pPr>
        <w:spacing w:line="360" w:lineRule="auto"/>
        <w:jc w:val="left"/>
      </w:pPr>
      <w:r>
        <w:rPr>
          <w:b w:val="on"/>
          <w:i w:val="off"/>
          <w:u w:val="none"/>
          <w:strike w:val="off"/>
          <w:rFonts w:ascii="FangSong" w:hAnsi="FangSong" w:cs="FangSong" w:eastAsia="FangSong"/>
          <w:sz w:val="28"/>
        </w:rPr>
        <w:t>修改后条款：</w:t>
      </w:r>
      <w:r>
        <w:rPr>
          <w:b w:val="off"/>
          <w:i w:val="off"/>
          <w:u w:val="none"/>
          <w:strike w:val="off"/>
          <w:rFonts w:ascii="FangSong" w:hAnsi="FangSong" w:cs="FangSong" w:eastAsia="FangSong"/>
          <w:sz w:val="28"/>
        </w:rPr>
        <w:t>甲方（委托方/广告主）：上海星禾品牌管理有限公司
统一社会信用代码：91310115MA1FPX1234
住所地：上海市浦东新区陆家嘴环路1000号18层
法定代表人/授权代表：李明
联系电话：021-68886666
乙方（服务方/广告服务提供方）：北京云帆数字传媒有限公司
统一社会信用代码：91110105MA00ABC123
住所地：北京市朝阳区望京东路1号15层
法定代表人/授权代表：王悦
联系电话：010-58660088</w:t>
      </w:r>
    </w:p>
    <w:p>
      <w:pPr>
        <w:spacing w:line="360" w:lineRule="auto" w:before="160" w:after="100"/>
        <w:jc w:val="left"/>
      </w:pPr>
      <w:r>
        <w:rPr>
          <w:b w:val="on"/>
          <w:i w:val="off"/>
          <w:u w:val="none"/>
          <w:strike w:val="off"/>
          <w:rFonts w:ascii="FangSong" w:hAnsi="FangSong" w:cs="FangSong" w:eastAsia="FangSong"/>
          <w:sz w:val="28"/>
        </w:rPr>
        <w:t>2. 高风险 - 付款风险</w:t>
      </w:r>
    </w:p>
    <w:p>
      <w:pPr>
        <w:spacing w:line="360" w:lineRule="auto"/>
        <w:jc w:val="left"/>
      </w:pPr>
      <w:r>
        <w:rPr>
          <w:b w:val="on"/>
          <w:i w:val="off"/>
          <w:u w:val="none"/>
          <w:strike w:val="off"/>
          <w:rFonts w:ascii="FangSong" w:hAnsi="FangSong" w:cs="FangSong" w:eastAsia="FangSong"/>
          <w:sz w:val="28"/>
        </w:rPr>
        <w:t>风险原文：</w:t>
      </w:r>
      <w:r>
        <w:rPr>
          <w:b w:val="off"/>
          <w:i w:val="off"/>
          <w:u w:val="none"/>
          <w:strike w:val="off"/>
          <w:rFonts w:ascii="FangSong" w:hAnsi="FangSong" w:cs="FangSong" w:eastAsia="FangSong"/>
          <w:sz w:val="28"/>
        </w:rPr>
        <w:t>首期款人民币36000元，于合同生效后5个工作日内支付；
进度款人民币60000元，于2026年8月15日支付；
尾款人民币24000元，于服务成果验收或结算确认后5个工作日内支付。</w:t>
      </w:r>
    </w:p>
    <w:p>
      <w:pPr>
        <w:spacing w:line="360" w:lineRule="auto"/>
        <w:jc w:val="left"/>
      </w:pPr>
      <w:r>
        <w:rPr>
          <w:b w:val="on"/>
          <w:i w:val="off"/>
          <w:u w:val="none"/>
          <w:strike w:val="off"/>
          <w:rFonts w:ascii="FangSong" w:hAnsi="FangSong" w:cs="FangSong" w:eastAsia="FangSong"/>
          <w:sz w:val="28"/>
        </w:rPr>
        <w:t>风险原因：</w:t>
      </w:r>
      <w:r>
        <w:rPr>
          <w:b w:val="off"/>
          <w:i w:val="off"/>
          <w:u w:val="none"/>
          <w:strike w:val="off"/>
          <w:rFonts w:ascii="FangSong" w:hAnsi="FangSong" w:cs="FangSong" w:eastAsia="FangSong"/>
          <w:sz w:val="28"/>
        </w:rPr>
        <w:t>尾款支付条件为‘服务成果验收或结算确认后5个工作日内’，但未定义‘验收标准’‘确认主体’‘异议期限’及‘默认视为验收通过’的时限，易引发付款争议；进度款仅约定固定日期，未与服务里程碑挂钩，缺乏履约保障。</w:t>
      </w:r>
    </w:p>
    <w:p>
      <w:pPr>
        <w:spacing w:line="360" w:lineRule="auto"/>
        <w:jc w:val="left"/>
      </w:pPr>
      <w:r>
        <w:rPr>
          <w:b w:val="on"/>
          <w:i w:val="off"/>
          <w:u w:val="none"/>
          <w:strike w:val="off"/>
          <w:rFonts w:ascii="FangSong" w:hAnsi="FangSong" w:cs="FangSong" w:eastAsia="FangSong"/>
          <w:sz w:val="28"/>
        </w:rPr>
        <w:t>修改建议：</w:t>
      </w:r>
      <w:r>
        <w:rPr>
          <w:b w:val="off"/>
          <w:i w:val="off"/>
          <w:u w:val="none"/>
          <w:strike w:val="off"/>
          <w:rFonts w:ascii="FangSong" w:hAnsi="FangSong" w:cs="FangSong" w:eastAsia="FangSong"/>
          <w:sz w:val="28"/>
        </w:rPr>
        <w:t>将尾款支付条件明确为‘甲方出具书面验收确认单后5个工作日内’，并增设‘逾期未提出书面异议视为验收合格’条款；建议进度款与具体服务节点（如首轮投放完成）绑定。</w:t>
      </w:r>
    </w:p>
    <w:p>
      <w:pPr>
        <w:spacing w:line="360" w:lineRule="auto"/>
        <w:jc w:val="left"/>
      </w:pPr>
      <w:r>
        <w:rPr>
          <w:b w:val="on"/>
          <w:i w:val="off"/>
          <w:u w:val="none"/>
          <w:strike w:val="off"/>
          <w:rFonts w:ascii="FangSong" w:hAnsi="FangSong" w:cs="FangSong" w:eastAsia="FangSong"/>
          <w:sz w:val="28"/>
        </w:rPr>
        <w:t>修改后条款：</w:t>
      </w:r>
      <w:r>
        <w:rPr>
          <w:b w:val="off"/>
          <w:i w:val="off"/>
          <w:u w:val="none"/>
          <w:strike w:val="off"/>
          <w:rFonts w:ascii="FangSong" w:hAnsi="FangSong" w:cs="FangSong" w:eastAsia="FangSong"/>
          <w:sz w:val="28"/>
        </w:rPr>
        <w:t>首期款人民币36000元，于合同生效后5个工作日内支付；
进度款人民币60000元，于乙方完成首轮30天广告投放并提交阶段性结案报告后5个工作日内支付；
尾款人民币24000元，于甲方出具《验收确认单》后5个工作日内支付；甲方应在收到结案材料后5个工作日内完成验收并出具确认单，逾期未提出书面异议的，视为验收合格。</w:t>
      </w:r>
    </w:p>
    <w:p>
      <w:pPr>
        <w:spacing w:line="360" w:lineRule="auto" w:before="160" w:after="100"/>
        <w:jc w:val="left"/>
      </w:pPr>
      <w:r>
        <w:rPr>
          <w:b w:val="on"/>
          <w:i w:val="off"/>
          <w:u w:val="none"/>
          <w:strike w:val="off"/>
          <w:rFonts w:ascii="FangSong" w:hAnsi="FangSong" w:cs="FangSong" w:eastAsia="FangSong"/>
          <w:sz w:val="28"/>
        </w:rPr>
        <w:t>3. 中风险 - 违约风险</w:t>
      </w:r>
    </w:p>
    <w:p>
      <w:pPr>
        <w:spacing w:line="360" w:lineRule="auto"/>
        <w:jc w:val="left"/>
      </w:pPr>
      <w:r>
        <w:rPr>
          <w:b w:val="on"/>
          <w:i w:val="off"/>
          <w:u w:val="none"/>
          <w:strike w:val="off"/>
          <w:rFonts w:ascii="FangSong" w:hAnsi="FangSong" w:cs="FangSong" w:eastAsia="FangSong"/>
          <w:sz w:val="28"/>
        </w:rPr>
        <w:t>风险原文：</w:t>
      </w:r>
      <w:r>
        <w:rPr>
          <w:b w:val="off"/>
          <w:i w:val="off"/>
          <w:u w:val="none"/>
          <w:strike w:val="off"/>
          <w:rFonts w:ascii="FangSong" w:hAnsi="FangSong" w:cs="FangSong" w:eastAsia="FangSong"/>
          <w:sz w:val="28"/>
        </w:rPr>
        <w:t>甲方逾期支付费用的，每逾期一日，应按逾期未付款金额的万分之五向乙方支付违约金；逾期超过15日的，乙方有权暂停服务或解除合同。</w:t>
      </w:r>
    </w:p>
    <w:p>
      <w:pPr>
        <w:spacing w:line="360" w:lineRule="auto"/>
        <w:jc w:val="left"/>
      </w:pPr>
      <w:r>
        <w:rPr>
          <w:b w:val="on"/>
          <w:i w:val="off"/>
          <w:u w:val="none"/>
          <w:strike w:val="off"/>
          <w:rFonts w:ascii="FangSong" w:hAnsi="FangSong" w:cs="FangSong" w:eastAsia="FangSong"/>
          <w:sz w:val="28"/>
        </w:rPr>
        <w:t>风险原因：</w:t>
      </w:r>
      <w:r>
        <w:rPr>
          <w:b w:val="off"/>
          <w:i w:val="off"/>
          <w:u w:val="none"/>
          <w:strike w:val="off"/>
          <w:rFonts w:ascii="FangSong" w:hAnsi="FangSong" w:cs="FangSong" w:eastAsia="FangSong"/>
          <w:sz w:val="28"/>
        </w:rPr>
        <w:t>甲方违约金标准（日0.05%）显著高于司法实践通常支持的LPR四倍上限（当前约年化14.8%，日约0.041%），存在被认定为过高而调减风险；且未设定乙方逾期交付、服务质量不达标等对等违约责任比例。</w:t>
      </w:r>
    </w:p>
    <w:p>
      <w:pPr>
        <w:spacing w:line="360" w:lineRule="auto"/>
        <w:jc w:val="left"/>
      </w:pPr>
      <w:r>
        <w:rPr>
          <w:b w:val="on"/>
          <w:i w:val="off"/>
          <w:u w:val="none"/>
          <w:strike w:val="off"/>
          <w:rFonts w:ascii="FangSong" w:hAnsi="FangSong" w:cs="FangSong" w:eastAsia="FangSong"/>
          <w:sz w:val="28"/>
        </w:rPr>
        <w:t>修改建议：</w:t>
      </w:r>
      <w:r>
        <w:rPr>
          <w:b w:val="off"/>
          <w:i w:val="off"/>
          <w:u w:val="none"/>
          <w:strike w:val="off"/>
          <w:rFonts w:ascii="FangSong" w:hAnsi="FangSong" w:cs="FangSong" w:eastAsia="FangSong"/>
          <w:sz w:val="28"/>
        </w:rPr>
        <w:t>将违约金统一调整为全国银行间同业拆借中心公布的同期LPR的4倍（年化），并补充乙方同等违约情形下的对等责任条款。</w:t>
      </w:r>
    </w:p>
    <w:p>
      <w:pPr>
        <w:spacing w:line="360" w:lineRule="auto"/>
        <w:jc w:val="left"/>
      </w:pPr>
      <w:r>
        <w:rPr>
          <w:b w:val="on"/>
          <w:i w:val="off"/>
          <w:u w:val="none"/>
          <w:strike w:val="off"/>
          <w:rFonts w:ascii="FangSong" w:hAnsi="FangSong" w:cs="FangSong" w:eastAsia="FangSong"/>
          <w:sz w:val="28"/>
        </w:rPr>
        <w:t>修改后条款：</w:t>
      </w:r>
      <w:r>
        <w:rPr>
          <w:b w:val="off"/>
          <w:i w:val="off"/>
          <w:u w:val="none"/>
          <w:strike w:val="off"/>
          <w:rFonts w:ascii="FangSong" w:hAnsi="FangSong" w:cs="FangSong" w:eastAsia="FangSong"/>
          <w:sz w:val="28"/>
        </w:rPr>
        <w:t>任一方逾期履行付款或主要服务义务的，每逾期一日，应按逾期未履行部分金额的全国银行间同业拆借中心公布的同期一年期贷款市场报价利率（LPR）的4倍向守约方支付违约金；逾期超过15日的，守约方有权暂停履行或解除合同。</w:t>
      </w:r>
    </w:p>
    <w:p>
      <w:pPr>
        <w:spacing w:line="360" w:lineRule="auto" w:before="160" w:after="100"/>
        <w:jc w:val="left"/>
      </w:pPr>
      <w:r>
        <w:rPr>
          <w:b w:val="on"/>
          <w:i w:val="off"/>
          <w:u w:val="none"/>
          <w:strike w:val="off"/>
          <w:rFonts w:ascii="FangSong" w:hAnsi="FangSong" w:cs="FangSong" w:eastAsia="FangSong"/>
          <w:sz w:val="28"/>
        </w:rPr>
        <w:t>4. 高风险 - 期限风险</w:t>
      </w:r>
    </w:p>
    <w:p>
      <w:pPr>
        <w:spacing w:line="360" w:lineRule="auto"/>
        <w:jc w:val="left"/>
      </w:pPr>
      <w:r>
        <w:rPr>
          <w:b w:val="on"/>
          <w:i w:val="off"/>
          <w:u w:val="none"/>
          <w:strike w:val="off"/>
          <w:rFonts w:ascii="FangSong" w:hAnsi="FangSong" w:cs="FangSong" w:eastAsia="FangSong"/>
          <w:sz w:val="28"/>
        </w:rPr>
        <w:t>风险原文：</w:t>
      </w:r>
      <w:r>
        <w:rPr>
          <w:b w:val="off"/>
          <w:i w:val="off"/>
          <w:u w:val="none"/>
          <w:strike w:val="off"/>
          <w:rFonts w:ascii="FangSong" w:hAnsi="FangSong" w:cs="FangSong" w:eastAsia="FangSong"/>
          <w:sz w:val="28"/>
        </w:rPr>
        <w:t>本合同服务期限自2026年7月1日起至2026年9月30日止。期限届满后，双方可另行协商续签或补充约定。
本项目首轮广告投放周期暂定为30天，具体以双方确认的投放排期表为准。</w:t>
      </w:r>
    </w:p>
    <w:p>
      <w:pPr>
        <w:spacing w:line="360" w:lineRule="auto"/>
        <w:jc w:val="left"/>
      </w:pPr>
      <w:r>
        <w:rPr>
          <w:b w:val="on"/>
          <w:i w:val="off"/>
          <w:u w:val="none"/>
          <w:strike w:val="off"/>
          <w:rFonts w:ascii="FangSong" w:hAnsi="FangSong" w:cs="FangSong" w:eastAsia="FangSong"/>
          <w:sz w:val="28"/>
        </w:rPr>
        <w:t>风险原因：</w:t>
      </w:r>
      <w:r>
        <w:rPr>
          <w:b w:val="off"/>
          <w:i w:val="off"/>
          <w:u w:val="none"/>
          <w:strike w:val="off"/>
          <w:rFonts w:ascii="FangSong" w:hAnsi="FangSong" w:cs="FangSong" w:eastAsia="FangSong"/>
          <w:sz w:val="28"/>
        </w:rPr>
        <w:t>主服务期限（3个月）与‘首轮投放周期暂定30天’存在逻辑冲突，且未明确服务期限届满后尚未完成投放的处理机制（如自动顺延、终止执行或另行约定），易导致履约不确定性及费用争议。</w:t>
      </w:r>
    </w:p>
    <w:p>
      <w:pPr>
        <w:spacing w:line="360" w:lineRule="auto"/>
        <w:jc w:val="left"/>
      </w:pPr>
      <w:r>
        <w:rPr>
          <w:b w:val="on"/>
          <w:i w:val="off"/>
          <w:u w:val="none"/>
          <w:strike w:val="off"/>
          <w:rFonts w:ascii="FangSong" w:hAnsi="FangSong" w:cs="FangSong" w:eastAsia="FangSong"/>
          <w:sz w:val="28"/>
        </w:rPr>
        <w:t>修改建议：</w:t>
      </w:r>
      <w:r>
        <w:rPr>
          <w:b w:val="off"/>
          <w:i w:val="off"/>
          <w:u w:val="none"/>
          <w:strike w:val="off"/>
          <w:rFonts w:ascii="FangSong" w:hAnsi="FangSong" w:cs="FangSong" w:eastAsia="FangSong"/>
          <w:sz w:val="28"/>
        </w:rPr>
        <w:t>删除‘暂定’表述，明确首轮投放周期即为合同核心履行期；补充条款说明：若因甲方原因导致投放未能按期启动，服务期限相应顺延；若因乙方原因延误，不得延长且应承担违约责任。</w:t>
      </w:r>
    </w:p>
    <w:p>
      <w:pPr>
        <w:spacing w:line="360" w:lineRule="auto"/>
        <w:jc w:val="left"/>
      </w:pPr>
      <w:r>
        <w:rPr>
          <w:b w:val="on"/>
          <w:i w:val="off"/>
          <w:u w:val="none"/>
          <w:strike w:val="off"/>
          <w:rFonts w:ascii="FangSong" w:hAnsi="FangSong" w:cs="FangSong" w:eastAsia="FangSong"/>
          <w:sz w:val="28"/>
        </w:rPr>
        <w:t>修改后条款：</w:t>
      </w:r>
      <w:r>
        <w:rPr>
          <w:b w:val="off"/>
          <w:i w:val="off"/>
          <w:u w:val="none"/>
          <w:strike w:val="off"/>
          <w:rFonts w:ascii="FangSong" w:hAnsi="FangSong" w:cs="FangSong" w:eastAsia="FangSong"/>
          <w:sz w:val="28"/>
        </w:rPr>
        <w:t>本合同服务期限自2026年7月1日起至2026年9月30日止，其中首轮广告投放周期为30天，自双方签署《广告投放排期表》载明的起始日起算；若因甲方原因导致投放延迟，服务期限相应顺延；若因乙方原因导致投放延误，乙方应承担违约责任且服务期限不予延长。</w:t>
      </w:r>
    </w:p>
    <w:p>
      <w:pPr>
        <w:spacing w:line="360" w:lineRule="auto" w:before="160" w:after="100"/>
        <w:jc w:val="left"/>
      </w:pPr>
      <w:r>
        <w:rPr>
          <w:b w:val="on"/>
          <w:i w:val="off"/>
          <w:u w:val="none"/>
          <w:strike w:val="off"/>
          <w:rFonts w:ascii="FangSong" w:hAnsi="FangSong" w:cs="FangSong" w:eastAsia="FangSong"/>
          <w:sz w:val="28"/>
        </w:rPr>
        <w:t>5. 高风险 - 争议解决风险</w:t>
      </w:r>
    </w:p>
    <w:p>
      <w:pPr>
        <w:spacing w:line="360" w:lineRule="auto"/>
        <w:jc w:val="left"/>
      </w:pPr>
      <w:r>
        <w:rPr>
          <w:b w:val="on"/>
          <w:i w:val="off"/>
          <w:u w:val="none"/>
          <w:strike w:val="off"/>
          <w:rFonts w:ascii="FangSong" w:hAnsi="FangSong" w:cs="FangSong" w:eastAsia="FangSong"/>
          <w:sz w:val="28"/>
        </w:rPr>
        <w:t>风险原文：</w:t>
      </w:r>
      <w:r>
        <w:rPr>
          <w:b w:val="off"/>
          <w:i w:val="off"/>
          <w:u w:val="none"/>
          <w:strike w:val="off"/>
          <w:rFonts w:ascii="FangSong" w:hAnsi="FangSong" w:cs="FangSong" w:eastAsia="FangSong"/>
          <w:sz w:val="28"/>
        </w:rPr>
        <w:t>本合同的订立、生效、解释、履行、变更、终止及争议解决均适用中华人民共和国法律。双方因本合同产生争议的，应先协商解决；协商不成的，可向北京市朝阳区人民法院提起诉讼，或向北京仲裁委员会申请仲裁，以双方最终书面约定为准。</w:t>
      </w:r>
    </w:p>
    <w:p>
      <w:pPr>
        <w:spacing w:line="360" w:lineRule="auto"/>
        <w:jc w:val="left"/>
      </w:pPr>
      <w:r>
        <w:rPr>
          <w:b w:val="on"/>
          <w:i w:val="off"/>
          <w:u w:val="none"/>
          <w:strike w:val="off"/>
          <w:rFonts w:ascii="FangSong" w:hAnsi="FangSong" w:cs="FangSong" w:eastAsia="FangSong"/>
          <w:sz w:val="28"/>
        </w:rPr>
        <w:t>风险原因：</w:t>
      </w:r>
      <w:r>
        <w:rPr>
          <w:b w:val="off"/>
          <w:i w:val="off"/>
          <w:u w:val="none"/>
          <w:strike w:val="off"/>
          <w:rFonts w:ascii="FangSong" w:hAnsi="FangSong" w:cs="FangSong" w:eastAsia="FangSong"/>
          <w:sz w:val="28"/>
        </w:rPr>
        <w:t>争议解决条款同时约定诉讼与仲裁，且未作排他性选择（‘或’+‘以书面约定为准’），构成‘或裁或审’无效条款，违反《仲裁法》第十八条，导致争议解决路径不确定，司法实践中可能被认定为无效。</w:t>
      </w:r>
    </w:p>
    <w:p>
      <w:pPr>
        <w:spacing w:line="360" w:lineRule="auto"/>
        <w:jc w:val="left"/>
      </w:pPr>
      <w:r>
        <w:rPr>
          <w:b w:val="on"/>
          <w:i w:val="off"/>
          <w:u w:val="none"/>
          <w:strike w:val="off"/>
          <w:rFonts w:ascii="FangSong" w:hAnsi="FangSong" w:cs="FangSong" w:eastAsia="FangSong"/>
          <w:sz w:val="28"/>
        </w:rPr>
        <w:t>修改建议：</w:t>
      </w:r>
      <w:r>
        <w:rPr>
          <w:b w:val="off"/>
          <w:i w:val="off"/>
          <w:u w:val="none"/>
          <w:strike w:val="off"/>
          <w:rFonts w:ascii="FangSong" w:hAnsi="FangSong" w:cs="FangSong" w:eastAsia="FangSong"/>
          <w:sz w:val="28"/>
        </w:rPr>
        <w:t>必须二选一：删除仲裁选项，明确约定唯一管辖法院；或删除诉讼选项，明确选定仲裁机构并写明仲裁规则。鉴于乙方住所地在朝阳区，建议固定为朝阳区法院管辖以增强可执行性。</w:t>
      </w:r>
    </w:p>
    <w:p>
      <w:pPr>
        <w:spacing w:line="360" w:lineRule="auto"/>
        <w:jc w:val="left"/>
      </w:pPr>
      <w:r>
        <w:rPr>
          <w:b w:val="on"/>
          <w:i w:val="off"/>
          <w:u w:val="none"/>
          <w:strike w:val="off"/>
          <w:rFonts w:ascii="FangSong" w:hAnsi="FangSong" w:cs="FangSong" w:eastAsia="FangSong"/>
          <w:sz w:val="28"/>
        </w:rPr>
        <w:t>修改后条款：</w:t>
      </w:r>
      <w:r>
        <w:rPr>
          <w:b w:val="off"/>
          <w:i w:val="off"/>
          <w:u w:val="none"/>
          <w:strike w:val="off"/>
          <w:rFonts w:ascii="FangSong" w:hAnsi="FangSong" w:cs="FangSong" w:eastAsia="FangSong"/>
          <w:sz w:val="28"/>
        </w:rPr>
        <w:t>本合同的订立、生效、解释、履行、变更、终止及争议解决均适用中华人民共和国法律。双方因本合同产生争议的，应先协商解决；协商不成的，任何一方均有权向乙方住所地（北京市朝阳区）有管辖权的人民法院提起诉讼。</w:t>
      </w:r>
    </w:p>
    <w:sectPr>
      <w:pgSz w:w="11906" w:h="16838"/>
      <w:pgMar w:top="1440" w:bottom="1440" w:left="1803" w:right="1803"/>
    </w:sectPr>
  </w:body>
</w:document>
</file>

<file path=word/settings.xml><?xml version="1.0" encoding="utf-8"?>
<w:settings xmlns:w="http://schemas.openxmlformats.org/wordprocessingml/2006/main"/>
</file>

<file path=word/_rels/document.xml.rels><?xml version="1.0" encoding="UTF-8" standalone="yes"?><Relationships xmlns="http://schemas.openxmlformats.org/package/2006/relationships"><Relationship Id="rId1" Target="settings.xml" Type="http://schemas.openxmlformats.org/officeDocument/2006/relationships/settings"/></Relationships>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2026-06-23T14:16:04Z</dcterms:created>
  <dc:creator>Apache POI</dc:creator>
</cp:coreProperties>
</file>