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w:body>
    <w:p>
      <w:pPr>
        <w:spacing w:line="360" w:lineRule="auto" w:after="240"/>
        <w:jc w:val="center"/>
      </w:pPr>
      <w:r>
        <w:rPr>
          <w:b w:val="on"/>
          <w:i w:val="off"/>
          <w:u w:val="none"/>
          <w:strike w:val="off"/>
          <w:rFonts w:ascii="FangSong" w:hAnsi="FangSong" w:cs="FangSong" w:eastAsia="FangSong"/>
          <w:sz w:val="36"/>
        </w:rPr>
        <w:t>合同风险审查报告</w:t>
      </w:r>
    </w:p>
    <w:p>
      <w:pPr>
        <w:spacing w:line="360" w:lineRule="auto" w:before="160" w:after="100"/>
        <w:jc w:val="left"/>
      </w:pPr>
      <w:r>
        <w:rPr>
          <w:b w:val="on"/>
          <w:i w:val="off"/>
          <w:u w:val="none"/>
          <w:strike w:val="off"/>
          <w:rFonts w:ascii="FangSong" w:hAnsi="FangSong" w:cs="FangSong" w:eastAsia="FangSong"/>
          <w:sz w:val="28"/>
        </w:rPr>
        <w:t>一、报告概览</w:t>
      </w:r>
    </w:p>
    <w:tbl>
      <w:tblPr>
        <w:tblW w:w="0" w:type="auto"/>
        <w:tblBorders>
          <w:top w:val="single"/>
          <w:left w:val="single"/>
          <w:bottom w:val="single"/>
          <w:right w:val="single"/>
          <w:insideH w:val="single"/>
          <w:insideV w:val="single"/>
        </w:tblBorders>
      </w:tblPr>
      <w:tr>
        <w:tc>
          <w:p>
            <w:pPr>
              <w:spacing w:line="360" w:lineRule="auto"/>
              <w:jc w:val="left"/>
            </w:pPr>
            <w:r>
              <w:rPr>
                <w:rFonts w:ascii="FangSong" w:hAnsi="FangSong" w:cs="FangSong" w:eastAsia="FangSong"/>
                <w:sz w:val="28"/>
              </w:rPr>
              <w:t>报告编号</w:t>
            </w:r>
          </w:p>
        </w:tc>
        <w:tc>
          <w:p>
            <w:pPr>
              <w:spacing w:line="360" w:lineRule="auto"/>
              <w:jc w:val="left"/>
            </w:pPr>
            <w:r>
              <w:rPr>
                <w:rFonts w:ascii="FangSong" w:hAnsi="FangSong" w:cs="FangSong" w:eastAsia="FangSong"/>
                <w:sz w:val="28"/>
              </w:rPr>
              <w:t>RISK-V1-20260624155910</w:t>
            </w:r>
          </w:p>
        </w:tc>
      </w:tr>
      <w:tr>
        <w:tc>
          <w:p>
            <w:pPr>
              <w:spacing w:line="360" w:lineRule="auto"/>
              <w:jc w:val="left"/>
            </w:pPr>
            <w:r>
              <w:rPr>
                <w:rFonts w:ascii="FangSong" w:hAnsi="FangSong" w:cs="FangSong" w:eastAsia="FangSong"/>
                <w:sz w:val="28"/>
              </w:rPr>
              <w:t>关联草稿版本</w:t>
            </w:r>
          </w:p>
        </w:tc>
        <w:tc>
          <w:p>
            <w:pPr>
              <w:spacing w:line="360" w:lineRule="auto"/>
              <w:jc w:val="left"/>
            </w:pPr>
            <w:r>
              <w:rPr>
                <w:rFonts w:ascii="FangSong" w:hAnsi="FangSong" w:cs="FangSong" w:eastAsia="FangSong"/>
                <w:sz w:val="28"/>
              </w:rPr>
              <w:t>#7</w:t>
            </w:r>
          </w:p>
        </w:tc>
      </w:tr>
      <w:tr>
        <w:tc>
          <w:p>
            <w:pPr>
              <w:spacing w:line="360" w:lineRule="auto"/>
              <w:jc w:val="left"/>
            </w:pPr>
            <w:r>
              <w:rPr>
                <w:rFonts w:ascii="FangSong" w:hAnsi="FangSong" w:cs="FangSong" w:eastAsia="FangSong"/>
                <w:sz w:val="28"/>
              </w:rPr>
              <w:t>合同类型</w:t>
            </w:r>
          </w:p>
        </w:tc>
        <w:tc>
          <w:p>
            <w:pPr>
              <w:spacing w:line="360" w:lineRule="auto"/>
              <w:jc w:val="left"/>
            </w:pPr>
            <w:r>
              <w:rPr>
                <w:rFonts w:ascii="FangSong" w:hAnsi="FangSong" w:cs="FangSong" w:eastAsia="FangSong"/>
                <w:sz w:val="28"/>
              </w:rPr>
              <w:t>服务合同</w:t>
            </w:r>
          </w:p>
        </w:tc>
      </w:tr>
      <w:tr>
        <w:tc>
          <w:p>
            <w:pPr>
              <w:spacing w:line="360" w:lineRule="auto"/>
              <w:jc w:val="left"/>
            </w:pPr>
            <w:r>
              <w:rPr>
                <w:rFonts w:ascii="FangSong" w:hAnsi="FangSong" w:cs="FangSong" w:eastAsia="FangSong"/>
                <w:sz w:val="28"/>
              </w:rPr>
              <w:t>甲方</w:t>
            </w:r>
          </w:p>
        </w:tc>
        <w:tc>
          <w:p>
            <w:pPr>
              <w:spacing w:line="360" w:lineRule="auto"/>
              <w:jc w:val="left"/>
            </w:pPr>
            <w:r>
              <w:rPr>
                <w:rFonts w:ascii="FangSong" w:hAnsi="FangSong" w:cs="FangSong" w:eastAsia="FangSong"/>
                <w:sz w:val="28"/>
              </w:rPr>
              <w:t>克拉玛依智合科技有限公司，以下简称甲方。 住所：新疆维吾尔自治区克拉玛依市克拉玛依区迎宾大道60号。</w:t>
            </w:r>
          </w:p>
        </w:tc>
      </w:tr>
      <w:tr>
        <w:tc>
          <w:p>
            <w:pPr>
              <w:spacing w:line="360" w:lineRule="auto"/>
              <w:jc w:val="left"/>
            </w:pPr>
            <w:r>
              <w:rPr>
                <w:rFonts w:ascii="FangSong" w:hAnsi="FangSong" w:cs="FangSong" w:eastAsia="FangSong"/>
                <w:sz w:val="28"/>
              </w:rPr>
              <w:t>乙方</w:t>
            </w:r>
          </w:p>
        </w:tc>
        <w:tc>
          <w:p>
            <w:pPr>
              <w:spacing w:line="360" w:lineRule="auto"/>
              <w:jc w:val="left"/>
            </w:pPr>
            <w:r>
              <w:rPr>
                <w:rFonts w:ascii="FangSong" w:hAnsi="FangSong" w:cs="FangSong" w:eastAsia="FangSong"/>
                <w:sz w:val="28"/>
              </w:rPr>
              <w:t>北京博雅教育咨询有限公司</w:t>
            </w:r>
          </w:p>
        </w:tc>
      </w:tr>
      <w:tr>
        <w:tc>
          <w:p>
            <w:pPr>
              <w:spacing w:line="360" w:lineRule="auto"/>
              <w:jc w:val="left"/>
            </w:pPr>
            <w:r>
              <w:rPr>
                <w:rFonts w:ascii="FangSong" w:hAnsi="FangSong" w:cs="FangSong" w:eastAsia="FangSong"/>
                <w:sz w:val="28"/>
              </w:rPr>
              <w:t>业务范围</w:t>
            </w:r>
          </w:p>
        </w:tc>
        <w:tc>
          <w:p>
            <w:pPr>
              <w:spacing w:line="360" w:lineRule="auto"/>
              <w:jc w:val="left"/>
            </w:pPr>
            <w:r>
              <w:rPr>
                <w:rFonts w:ascii="FangSong" w:hAnsi="FangSong" w:cs="FangSong" w:eastAsia="FangSong"/>
                <w:sz w:val="28"/>
              </w:rPr>
              <w:t>员工培训服务协议</w:t>
            </w:r>
          </w:p>
        </w:tc>
      </w:tr>
      <w:tr>
        <w:tc>
          <w:p>
            <w:pPr>
              <w:spacing w:line="360" w:lineRule="auto"/>
              <w:jc w:val="left"/>
            </w:pPr>
            <w:r>
              <w:rPr>
                <w:rFonts w:ascii="FangSong" w:hAnsi="FangSong" w:cs="FangSong" w:eastAsia="FangSong"/>
                <w:sz w:val="28"/>
              </w:rPr>
              <w:t>最高风险等级</w:t>
            </w:r>
          </w:p>
        </w:tc>
        <w:tc>
          <w:p>
            <w:pPr>
              <w:spacing w:line="360" w:lineRule="auto"/>
              <w:jc w:val="left"/>
            </w:pPr>
            <w:r>
              <w:rPr>
                <w:rFonts w:ascii="FangSong" w:hAnsi="FangSong" w:cs="FangSong" w:eastAsia="FangSong"/>
                <w:sz w:val="28"/>
              </w:rPr>
              <w:t>高风险</w:t>
            </w:r>
          </w:p>
        </w:tc>
      </w:tr>
      <w:tr>
        <w:tc>
          <w:p>
            <w:pPr>
              <w:spacing w:line="360" w:lineRule="auto"/>
              <w:jc w:val="left"/>
            </w:pPr>
            <w:r>
              <w:rPr>
                <w:rFonts w:ascii="FangSong" w:hAnsi="FangSong" w:cs="FangSong" w:eastAsia="FangSong"/>
                <w:sz w:val="28"/>
              </w:rPr>
              <w:t>风险总数</w:t>
            </w:r>
          </w:p>
        </w:tc>
        <w:tc>
          <w:p>
            <w:pPr>
              <w:spacing w:line="360" w:lineRule="auto"/>
              <w:jc w:val="left"/>
            </w:pPr>
            <w:r>
              <w:rPr>
                <w:rFonts w:ascii="FangSong" w:hAnsi="FangSong" w:cs="FangSong" w:eastAsia="FangSong"/>
                <w:sz w:val="28"/>
              </w:rPr>
              <w:t>5</w:t>
            </w:r>
          </w:p>
        </w:tc>
      </w:tr>
      <w:tr>
        <w:tc>
          <w:p>
            <w:pPr>
              <w:spacing w:line="360" w:lineRule="auto"/>
              <w:jc w:val="left"/>
            </w:pPr>
            <w:r>
              <w:rPr>
                <w:rFonts w:ascii="FangSong" w:hAnsi="FangSong" w:cs="FangSong" w:eastAsia="FangSong"/>
                <w:sz w:val="28"/>
              </w:rPr>
              <w:t>高 / 中 / 低风险</w:t>
            </w:r>
          </w:p>
        </w:tc>
        <w:tc>
          <w:p>
            <w:pPr>
              <w:spacing w:line="360" w:lineRule="auto"/>
              <w:jc w:val="left"/>
            </w:pPr>
            <w:r>
              <w:rPr>
                <w:rFonts w:ascii="FangSong" w:hAnsi="FangSong" w:cs="FangSong" w:eastAsia="FangSong"/>
                <w:sz w:val="28"/>
              </w:rPr>
              <w:t>2 / 2 / 1</w:t>
            </w:r>
          </w:p>
        </w:tc>
      </w:tr>
      <w:tr>
        <w:tc>
          <w:p>
            <w:pPr>
              <w:spacing w:line="360" w:lineRule="auto"/>
              <w:jc w:val="left"/>
            </w:pPr>
            <w:r>
              <w:rPr>
                <w:rFonts w:ascii="FangSong" w:hAnsi="FangSong" w:cs="FangSong" w:eastAsia="FangSong"/>
                <w:sz w:val="28"/>
              </w:rPr>
              <w:t>摘要</w:t>
            </w:r>
          </w:p>
        </w:tc>
        <w:tc>
          <w:p>
            <w:pPr>
              <w:spacing w:line="360" w:lineRule="auto"/>
              <w:jc w:val="left"/>
            </w:pPr>
            <w:r>
              <w:rPr>
                <w:rFonts w:ascii="FangSong" w:hAnsi="FangSong" w:cs="FangSong" w:eastAsia="FangSong"/>
                <w:sz w:val="28"/>
              </w:rPr>
              <w:t>风险审查完成，共发现 5 项风险，其中高风险 2 项、中风险 2 项、低风险 1 项。</w:t>
            </w:r>
          </w:p>
        </w:tc>
      </w:tr>
      <w:tr>
        <w:tc>
          <w:p>
            <w:pPr>
              <w:spacing w:line="360" w:lineRule="auto"/>
              <w:jc w:val="left"/>
            </w:pPr>
            <w:r>
              <w:rPr>
                <w:rFonts w:ascii="FangSong" w:hAnsi="FangSong" w:cs="FangSong" w:eastAsia="FangSong"/>
                <w:sz w:val="28"/>
              </w:rPr>
              <w:t>模型</w:t>
            </w:r>
          </w:p>
        </w:tc>
        <w:tc>
          <w:p>
            <w:pPr>
              <w:spacing w:line="360" w:lineRule="auto"/>
              <w:jc w:val="left"/>
            </w:pPr>
            <w:r>
              <w:rPr>
                <w:rFonts w:ascii="FangSong" w:hAnsi="FangSong" w:cs="FangSong" w:eastAsia="FangSong"/>
                <w:sz w:val="28"/>
              </w:rPr>
              <w:t>Qwen</w:t>
            </w:r>
          </w:p>
        </w:tc>
      </w:tr>
      <w:tr>
        <w:tc>
          <w:p>
            <w:pPr>
              <w:spacing w:line="360" w:lineRule="auto"/>
              <w:jc w:val="left"/>
            </w:pPr>
            <w:r>
              <w:rPr>
                <w:rFonts w:ascii="FangSong" w:hAnsi="FangSong" w:cs="FangSong" w:eastAsia="FangSong"/>
                <w:sz w:val="28"/>
              </w:rPr>
              <w:t>审查人</w:t>
            </w:r>
          </w:p>
        </w:tc>
        <w:tc>
          <w:p>
            <w:pPr>
              <w:spacing w:line="360" w:lineRule="auto"/>
              <w:jc w:val="left"/>
            </w:pPr>
            <w:r>
              <w:rPr>
                <w:rFonts w:ascii="FangSong" w:hAnsi="FangSong" w:cs="FangSong" w:eastAsia="FangSong"/>
                <w:sz w:val="28"/>
              </w:rPr>
              <w:t>admin</w:t>
            </w:r>
          </w:p>
        </w:tc>
      </w:tr>
      <w:tr>
        <w:tc>
          <w:p>
            <w:pPr>
              <w:spacing w:line="360" w:lineRule="auto"/>
              <w:jc w:val="left"/>
            </w:pPr>
            <w:r>
              <w:rPr>
                <w:rFonts w:ascii="FangSong" w:hAnsi="FangSong" w:cs="FangSong" w:eastAsia="FangSong"/>
                <w:sz w:val="28"/>
              </w:rPr>
              <w:t>生成时间</w:t>
            </w:r>
          </w:p>
        </w:tc>
        <w:tc>
          <w:p>
            <w:pPr>
              <w:spacing w:line="360" w:lineRule="auto"/>
              <w:jc w:val="left"/>
            </w:pPr>
            <w:r>
              <w:rPr>
                <w:rFonts w:ascii="FangSong" w:hAnsi="FangSong" w:cs="FangSong" w:eastAsia="FangSong"/>
                <w:sz w:val="28"/>
              </w:rPr>
              <w:t>2026-06-24 15:59:10</w:t>
            </w:r>
          </w:p>
        </w:tc>
      </w:tr>
    </w:tbl>
    <w:p>
      <w:pPr>
        <w:spacing w:line="360" w:lineRule="auto" w:before="160" w:after="100"/>
        <w:jc w:val="left"/>
      </w:pPr>
      <w:r>
        <w:rPr>
          <w:b w:val="on"/>
          <w:i w:val="off"/>
          <w:u w:val="none"/>
          <w:strike w:val="off"/>
          <w:rFonts w:ascii="FangSong" w:hAnsi="FangSong" w:cs="FangSong" w:eastAsia="FangSong"/>
          <w:sz w:val="28"/>
        </w:rPr>
        <w:t>二、风险修改建议</w:t>
      </w:r>
    </w:p>
    <w:p>
      <w:pPr>
        <w:spacing w:line="360" w:lineRule="auto" w:before="160" w:after="100"/>
        <w:jc w:val="left"/>
      </w:pPr>
      <w:r>
        <w:rPr>
          <w:b w:val="on"/>
          <w:i w:val="off"/>
          <w:u w:val="none"/>
          <w:strike w:val="off"/>
          <w:rFonts w:ascii="FangSong" w:hAnsi="FangSong" w:cs="FangSong" w:eastAsia="FangSong"/>
          <w:sz w:val="28"/>
        </w:rPr>
        <w:t>1. 高风险 - 主体信息风险</w:t>
      </w:r>
    </w:p>
    <w:p>
      <w:pPr>
        <w:spacing w:line="360" w:lineRule="auto"/>
        <w:jc w:val="left"/>
      </w:pPr>
      <w:r>
        <w:rPr>
          <w:b w:val="on"/>
          <w:i w:val="off"/>
          <w:u w:val="none"/>
          <w:strike w:val="off"/>
          <w:rFonts w:ascii="FangSong" w:hAnsi="FangSong" w:cs="FangSong" w:eastAsia="FangSong"/>
          <w:sz w:val="28"/>
        </w:rPr>
        <w:t>风险原文：</w:t>
      </w:r>
      <w:r>
        <w:rPr>
          <w:b w:val="off"/>
          <w:i w:val="off"/>
          <w:u w:val="none"/>
          <w:strike w:val="off"/>
          <w:rFonts w:ascii="FangSong" w:hAnsi="FangSong" w:cs="FangSong" w:eastAsia="FangSong"/>
          <w:sz w:val="28"/>
        </w:rPr>
        <w:t>甲方：克拉玛依智合科技有限公司，以下简称甲方。
住所：新疆维吾尔自治区克拉玛依市克拉玛依区迎宾大道60号。
联系人及电话：张明 0990-6251888。
乙方：北京博雅教育咨询有限公司，以下简称乙方。
住所：北京市朝阳区建国路88号现代城A座。
联系人及电话：孙洁 010-88076607。</w:t>
      </w:r>
    </w:p>
    <w:p>
      <w:pPr>
        <w:spacing w:line="360" w:lineRule="auto"/>
        <w:jc w:val="left"/>
      </w:pPr>
      <w:r>
        <w:rPr>
          <w:b w:val="on"/>
          <w:i w:val="off"/>
          <w:u w:val="none"/>
          <w:strike w:val="off"/>
          <w:rFonts w:ascii="FangSong" w:hAnsi="FangSong" w:cs="FangSong" w:eastAsia="FangSong"/>
          <w:sz w:val="28"/>
        </w:rPr>
        <w:t>风险原因：</w:t>
      </w:r>
      <w:r>
        <w:rPr>
          <w:b w:val="off"/>
          <w:i w:val="off"/>
          <w:u w:val="none"/>
          <w:strike w:val="off"/>
          <w:rFonts w:ascii="FangSong" w:hAnsi="FangSong" w:cs="FangSong" w:eastAsia="FangSong"/>
          <w:sz w:val="28"/>
        </w:rPr>
        <w:t>甲乙双方均未列明统一社会信用代码，无法验证签约主体真实性与合法性；乙方住所地址不完整（未注明楼层/房间号），存在履约与送达风险；联系人未明确职务或授权身份，签署页虽有‘法定代表人/授权代表’字样，但首页未说明张明、孙洁是否具备签署权限。</w:t>
      </w:r>
    </w:p>
    <w:p>
      <w:pPr>
        <w:spacing w:line="360" w:lineRule="auto"/>
        <w:jc w:val="left"/>
      </w:pPr>
      <w:r>
        <w:rPr>
          <w:b w:val="on"/>
          <w:i w:val="off"/>
          <w:u w:val="none"/>
          <w:strike w:val="off"/>
          <w:rFonts w:ascii="FangSong" w:hAnsi="FangSong" w:cs="FangSong" w:eastAsia="FangSong"/>
          <w:sz w:val="28"/>
        </w:rPr>
        <w:t>修改建议：</w:t>
      </w:r>
      <w:r>
        <w:rPr>
          <w:b w:val="off"/>
          <w:i w:val="off"/>
          <w:u w:val="none"/>
          <w:strike w:val="off"/>
          <w:rFonts w:ascii="FangSong" w:hAnsi="FangSong" w:cs="FangSong" w:eastAsia="FangSong"/>
          <w:sz w:val="28"/>
        </w:rPr>
        <w:t>在首页‘甲方’‘乙方’定义处补充双方统一社会信用代码；乙方住所应精确至门牌号+楼层/房间号；明确张明、孙洁为法定代表人或附《授权委托书》作为附件。</w:t>
      </w:r>
    </w:p>
    <w:p>
      <w:pPr>
        <w:spacing w:line="360" w:lineRule="auto"/>
        <w:jc w:val="left"/>
      </w:pPr>
      <w:r>
        <w:rPr>
          <w:b w:val="on"/>
          <w:i w:val="off"/>
          <w:u w:val="none"/>
          <w:strike w:val="off"/>
          <w:rFonts w:ascii="FangSong" w:hAnsi="FangSong" w:cs="FangSong" w:eastAsia="FangSong"/>
          <w:sz w:val="28"/>
        </w:rPr>
        <w:t>修改后条款：</w:t>
      </w:r>
      <w:r>
        <w:rPr>
          <w:b w:val="off"/>
          <w:i w:val="off"/>
          <w:u w:val="none"/>
          <w:strike w:val="off"/>
          <w:rFonts w:ascii="FangSong" w:hAnsi="FangSong" w:cs="FangSong" w:eastAsia="FangSong"/>
          <w:sz w:val="28"/>
        </w:rPr>
        <w:t>甲方：克拉玛依智合科技有限公司（统一社会信用代码：91650203MA77XXXXXX），以下简称甲方。
住所：新疆维吾尔自治区克拉玛依市克拉玛依区迎宾大道60号XX大厦X层XXX室。
联系人及电话：张明（法定代表人） 0990-6251888。
乙方：北京博雅教育咨询有限公司（统一社会信用代码：91110105MA00XXXXXX），以下简称乙方。
住所：北京市朝阳区建国路88号现代城A座X层XXX室。
联系人及电话：孙洁（法定代表人） 010-88076607。</w:t>
      </w:r>
    </w:p>
    <w:p>
      <w:pPr>
        <w:spacing w:line="360" w:lineRule="auto" w:before="160" w:after="100"/>
        <w:jc w:val="left"/>
      </w:pPr>
      <w:r>
        <w:rPr>
          <w:b w:val="on"/>
          <w:i w:val="off"/>
          <w:u w:val="none"/>
          <w:strike w:val="off"/>
          <w:rFonts w:ascii="FangSong" w:hAnsi="FangSong" w:cs="FangSong" w:eastAsia="FangSong"/>
          <w:sz w:val="28"/>
        </w:rPr>
        <w:t>2. 中风险 - 付款风险</w:t>
      </w:r>
    </w:p>
    <w:p>
      <w:pPr>
        <w:spacing w:line="360" w:lineRule="auto"/>
        <w:jc w:val="left"/>
      </w:pPr>
      <w:r>
        <w:rPr>
          <w:b w:val="on"/>
          <w:i w:val="off"/>
          <w:u w:val="none"/>
          <w:strike w:val="off"/>
          <w:rFonts w:ascii="FangSong" w:hAnsi="FangSong" w:cs="FangSong" w:eastAsia="FangSong"/>
          <w:sz w:val="28"/>
        </w:rPr>
        <w:t>风险原文：</w:t>
      </w:r>
      <w:r>
        <w:rPr>
          <w:b w:val="off"/>
          <w:i w:val="off"/>
          <w:u w:val="none"/>
          <w:strike w:val="off"/>
          <w:rFonts w:ascii="FangSong" w:hAnsi="FangSong" w:cs="FangSong" w:eastAsia="FangSong"/>
          <w:sz w:val="28"/>
        </w:rPr>
        <w:t>甲方在合同生效后十个工作日内支付合同金额的50%，乙方完成全部服务并经甲方验收合格后十个工作日内支付剩余50%。</w:t>
      </w:r>
    </w:p>
    <w:p>
      <w:pPr>
        <w:spacing w:line="360" w:lineRule="auto"/>
        <w:jc w:val="left"/>
      </w:pPr>
      <w:r>
        <w:rPr>
          <w:b w:val="on"/>
          <w:i w:val="off"/>
          <w:u w:val="none"/>
          <w:strike w:val="off"/>
          <w:rFonts w:ascii="FangSong" w:hAnsi="FangSong" w:cs="FangSong" w:eastAsia="FangSong"/>
          <w:sz w:val="28"/>
        </w:rPr>
        <w:t>风险原因：</w:t>
      </w:r>
      <w:r>
        <w:rPr>
          <w:b w:val="off"/>
          <w:i w:val="off"/>
          <w:u w:val="none"/>
          <w:strike w:val="off"/>
          <w:rFonts w:ascii="FangSong" w:hAnsi="FangSong" w:cs="FangSong" w:eastAsia="FangSong"/>
          <w:sz w:val="28"/>
        </w:rPr>
        <w:t>付款节点依赖‘验收合格’但未定义验收标准、时限及异议程序；未约定逾期付款违约金或利息，甲方延迟付款缺乏约束力；‘十个工作日’未明确起算日（如以盖章日还是签署日为准）。</w:t>
      </w:r>
    </w:p>
    <w:p>
      <w:pPr>
        <w:spacing w:line="360" w:lineRule="auto"/>
        <w:jc w:val="left"/>
      </w:pPr>
      <w:r>
        <w:rPr>
          <w:b w:val="on"/>
          <w:i w:val="off"/>
          <w:u w:val="none"/>
          <w:strike w:val="off"/>
          <w:rFonts w:ascii="FangSong" w:hAnsi="FangSong" w:cs="FangSong" w:eastAsia="FangSong"/>
          <w:sz w:val="28"/>
        </w:rPr>
        <w:t>修改建议：</w:t>
      </w:r>
      <w:r>
        <w:rPr>
          <w:b w:val="off"/>
          <w:i w:val="off"/>
          <w:u w:val="none"/>
          <w:strike w:val="off"/>
          <w:rFonts w:ascii="FangSong" w:hAnsi="FangSong" w:cs="FangSong" w:eastAsia="FangSong"/>
          <w:sz w:val="28"/>
        </w:rPr>
        <w:t>在第二条第2款中补充验收标准、验收时限（如收到交付物后5个工作日内出具书面意见）、逾期未验收视为合格的默认条款，并增加甲方逾期付款按LPR计算利息的违约责任。</w:t>
      </w:r>
    </w:p>
    <w:p>
      <w:pPr>
        <w:spacing w:line="360" w:lineRule="auto"/>
        <w:jc w:val="left"/>
      </w:pPr>
      <w:r>
        <w:rPr>
          <w:b w:val="on"/>
          <w:i w:val="off"/>
          <w:u w:val="none"/>
          <w:strike w:val="off"/>
          <w:rFonts w:ascii="FangSong" w:hAnsi="FangSong" w:cs="FangSong" w:eastAsia="FangSong"/>
          <w:sz w:val="28"/>
        </w:rPr>
        <w:t>修改后条款：</w:t>
      </w:r>
      <w:r>
        <w:rPr>
          <w:b w:val="off"/>
          <w:i w:val="off"/>
          <w:u w:val="none"/>
          <w:strike w:val="off"/>
          <w:rFonts w:ascii="FangSong" w:hAnsi="FangSong" w:cs="FangSong" w:eastAsia="FangSong"/>
          <w:sz w:val="28"/>
        </w:rPr>
        <w:t>甲方应于本合同生效之日起十个工作日内（以双方法定代表人或授权代表签字并加盖公章之日为生效日）向乙方支付合同金额的50%即¥16,000.00；乙方完成全部服务并提交符合第三条第2款要求的验收资料后，甲方应在收到资料之日起5个工作日内组织验收并出具书面验收意见；逾期未提出书面异议的，视为验收合格；甲方应于验收合格之日起十个工作日内支付剩余50%即¥16,000.00。甲方逾期付款的，每逾期一日，应按当期应付未付金额的万分之三向乙方支付违约金。</w:t>
      </w:r>
    </w:p>
    <w:p>
      <w:pPr>
        <w:spacing w:line="360" w:lineRule="auto" w:before="160" w:after="100"/>
        <w:jc w:val="left"/>
      </w:pPr>
      <w:r>
        <w:rPr>
          <w:b w:val="on"/>
          <w:i w:val="off"/>
          <w:u w:val="none"/>
          <w:strike w:val="off"/>
          <w:rFonts w:ascii="FangSong" w:hAnsi="FangSong" w:cs="FangSong" w:eastAsia="FangSong"/>
          <w:sz w:val="28"/>
        </w:rPr>
        <w:t>3. 高风险 - 期限风险</w:t>
      </w:r>
    </w:p>
    <w:p>
      <w:pPr>
        <w:spacing w:line="360" w:lineRule="auto"/>
        <w:jc w:val="left"/>
      </w:pPr>
      <w:r>
        <w:rPr>
          <w:b w:val="on"/>
          <w:i w:val="off"/>
          <w:u w:val="none"/>
          <w:strike w:val="off"/>
          <w:rFonts w:ascii="FangSong" w:hAnsi="FangSong" w:cs="FangSong" w:eastAsia="FangSong"/>
          <w:sz w:val="28"/>
        </w:rPr>
        <w:t>风险原文：</w:t>
      </w:r>
      <w:r>
        <w:rPr>
          <w:b w:val="off"/>
          <w:i w:val="off"/>
          <w:u w:val="none"/>
          <w:strike w:val="off"/>
          <w:rFonts w:ascii="FangSong" w:hAnsi="FangSong" w:cs="FangSong" w:eastAsia="FangSong"/>
          <w:sz w:val="28"/>
        </w:rPr>
        <w:t>本合同自2026年06月05日起生效，乙方应在2026年08月02日前完成合同约定的主要义务。</w:t>
      </w:r>
    </w:p>
    <w:p>
      <w:pPr>
        <w:spacing w:line="360" w:lineRule="auto"/>
        <w:jc w:val="left"/>
      </w:pPr>
      <w:r>
        <w:rPr>
          <w:b w:val="on"/>
          <w:i w:val="off"/>
          <w:u w:val="none"/>
          <w:strike w:val="off"/>
          <w:rFonts w:ascii="FangSong" w:hAnsi="FangSong" w:cs="FangSong" w:eastAsia="FangSong"/>
          <w:sz w:val="28"/>
        </w:rPr>
        <w:t>风险原因：</w:t>
      </w:r>
      <w:r>
        <w:rPr>
          <w:b w:val="off"/>
          <w:i w:val="off"/>
          <w:u w:val="none"/>
          <w:strike w:val="off"/>
          <w:rFonts w:ascii="FangSong" w:hAnsi="FangSong" w:cs="FangSong" w:eastAsia="FangSong"/>
          <w:sz w:val="28"/>
        </w:rPr>
        <w:t>仅约定‘主要义务’完成截止日，未明确‘全部义务’履行完毕时间（如报告提交、资料归档、整改闭环等），且未规定服务成果交付与验收的最晚时限，易引发履约争议；‘主要义务’属模糊表述，缺乏法律确定性。</w:t>
      </w:r>
    </w:p>
    <w:p>
      <w:pPr>
        <w:spacing w:line="360" w:lineRule="auto"/>
        <w:jc w:val="left"/>
      </w:pPr>
      <w:r>
        <w:rPr>
          <w:b w:val="on"/>
          <w:i w:val="off"/>
          <w:u w:val="none"/>
          <w:strike w:val="off"/>
          <w:rFonts w:ascii="FangSong" w:hAnsi="FangSong" w:cs="FangSong" w:eastAsia="FangSong"/>
          <w:sz w:val="28"/>
        </w:rPr>
        <w:t>修改建议：</w:t>
      </w:r>
      <w:r>
        <w:rPr>
          <w:b w:val="off"/>
          <w:i w:val="off"/>
          <w:u w:val="none"/>
          <w:strike w:val="off"/>
          <w:rFonts w:ascii="FangSong" w:hAnsi="FangSong" w:cs="FangSong" w:eastAsia="FangSong"/>
          <w:sz w:val="28"/>
        </w:rPr>
        <w:t>将‘主要义务’改为‘全部合同义务’，并明确服务成果最终交付日与甲方验收截止日，建议设定交付后5个工作日内完成验收，避免无限期拖延。</w:t>
      </w:r>
    </w:p>
    <w:p>
      <w:pPr>
        <w:spacing w:line="360" w:lineRule="auto"/>
        <w:jc w:val="left"/>
      </w:pPr>
      <w:r>
        <w:rPr>
          <w:b w:val="on"/>
          <w:i w:val="off"/>
          <w:u w:val="none"/>
          <w:strike w:val="off"/>
          <w:rFonts w:ascii="FangSong" w:hAnsi="FangSong" w:cs="FangSong" w:eastAsia="FangSong"/>
          <w:sz w:val="28"/>
        </w:rPr>
        <w:t>修改后条款：</w:t>
      </w:r>
      <w:r>
        <w:rPr>
          <w:b w:val="off"/>
          <w:i w:val="off"/>
          <w:u w:val="none"/>
          <w:strike w:val="off"/>
          <w:rFonts w:ascii="FangSong" w:hAnsi="FangSong" w:cs="FangSong" w:eastAsia="FangSong"/>
          <w:sz w:val="28"/>
        </w:rPr>
        <w:t>本合同自2026年06月05日双方盖章或授权代表签字并加盖公章之日起生效；乙方应于2026年08月02日前完成全部合同义务，包括但不限于课程实施、考核、总结报告编制及全部验收资料提交；甲方应于收到乙方全部交付资料后5个工作日内完成验收并出具书面意见。</w:t>
      </w:r>
    </w:p>
    <w:p>
      <w:pPr>
        <w:spacing w:line="360" w:lineRule="auto" w:before="160" w:after="100"/>
        <w:jc w:val="left"/>
      </w:pPr>
      <w:r>
        <w:rPr>
          <w:b w:val="on"/>
          <w:i w:val="off"/>
          <w:u w:val="none"/>
          <w:strike w:val="off"/>
          <w:rFonts w:ascii="FangSong" w:hAnsi="FangSong" w:cs="FangSong" w:eastAsia="FangSong"/>
          <w:sz w:val="28"/>
        </w:rPr>
        <w:t>4. 中风险 - 违约风险</w:t>
      </w:r>
    </w:p>
    <w:p>
      <w:pPr>
        <w:spacing w:line="360" w:lineRule="auto"/>
        <w:jc w:val="left"/>
      </w:pPr>
      <w:r>
        <w:rPr>
          <w:b w:val="on"/>
          <w:i w:val="off"/>
          <w:u w:val="none"/>
          <w:strike w:val="off"/>
          <w:rFonts w:ascii="FangSong" w:hAnsi="FangSong" w:cs="FangSong" w:eastAsia="FangSong"/>
          <w:sz w:val="28"/>
        </w:rPr>
        <w:t>风险原文：</w:t>
      </w:r>
      <w:r>
        <w:rPr>
          <w:b w:val="off"/>
          <w:i w:val="off"/>
          <w:u w:val="none"/>
          <w:strike w:val="off"/>
          <w:rFonts w:ascii="FangSong" w:hAnsi="FangSong" w:cs="FangSong" w:eastAsia="FangSong"/>
          <w:sz w:val="28"/>
        </w:rPr>
        <w:t>任一方未按约定履行义务，构成违约。违约方应在收到守约方书面通知后及时纠正，并赔偿因此给守约方造成的实际损失。</w:t>
      </w:r>
    </w:p>
    <w:p>
      <w:pPr>
        <w:spacing w:line="360" w:lineRule="auto"/>
        <w:jc w:val="left"/>
      </w:pPr>
      <w:r>
        <w:rPr>
          <w:b w:val="on"/>
          <w:i w:val="off"/>
          <w:u w:val="none"/>
          <w:strike w:val="off"/>
          <w:rFonts w:ascii="FangSong" w:hAnsi="FangSong" w:cs="FangSong" w:eastAsia="FangSong"/>
          <w:sz w:val="28"/>
        </w:rPr>
        <w:t>风险原因：</w:t>
      </w:r>
      <w:r>
        <w:rPr>
          <w:b w:val="off"/>
          <w:i w:val="off"/>
          <w:u w:val="none"/>
          <w:strike w:val="off"/>
          <w:rFonts w:ascii="FangSong" w:hAnsi="FangSong" w:cs="FangSong" w:eastAsia="FangSong"/>
          <w:sz w:val="28"/>
        </w:rPr>
        <w:t>违约责任条款过于笼统，未约定违约金计算方式、赔偿范围限制（如间接损失是否免责）、举证责任分配；第六条第2款虽列示乙方特定违约情形，但未对应设定具体违约金比例或上限，缺乏可执行性。</w:t>
      </w:r>
    </w:p>
    <w:p>
      <w:pPr>
        <w:spacing w:line="360" w:lineRule="auto"/>
        <w:jc w:val="left"/>
      </w:pPr>
      <w:r>
        <w:rPr>
          <w:b w:val="on"/>
          <w:i w:val="off"/>
          <w:u w:val="none"/>
          <w:strike w:val="off"/>
          <w:rFonts w:ascii="FangSong" w:hAnsi="FangSong" w:cs="FangSong" w:eastAsia="FangSong"/>
          <w:sz w:val="28"/>
        </w:rPr>
        <w:t>修改建议：</w:t>
      </w:r>
      <w:r>
        <w:rPr>
          <w:b w:val="off"/>
          <w:i w:val="off"/>
          <w:u w:val="none"/>
          <w:strike w:val="off"/>
          <w:rFonts w:ascii="FangSong" w:hAnsi="FangSong" w:cs="FangSong" w:eastAsia="FangSong"/>
          <w:sz w:val="28"/>
        </w:rPr>
        <w:t>在第六条第1款补充违约金标准（如合同总额10%）及赔偿范围限定（排除间接损失、利润损失等），并在第2款为逾期交付、擅自转委托等情形设定阶梯式违约金。</w:t>
      </w:r>
    </w:p>
    <w:p>
      <w:pPr>
        <w:spacing w:line="360" w:lineRule="auto"/>
        <w:jc w:val="left"/>
      </w:pPr>
      <w:r>
        <w:rPr>
          <w:b w:val="on"/>
          <w:i w:val="off"/>
          <w:u w:val="none"/>
          <w:strike w:val="off"/>
          <w:rFonts w:ascii="FangSong" w:hAnsi="FangSong" w:cs="FangSong" w:eastAsia="FangSong"/>
          <w:sz w:val="28"/>
        </w:rPr>
        <w:t>修改后条款：</w:t>
      </w:r>
      <w:r>
        <w:rPr>
          <w:b w:val="off"/>
          <w:i w:val="off"/>
          <w:u w:val="none"/>
          <w:strike w:val="off"/>
          <w:rFonts w:ascii="FangSong" w:hAnsi="FangSong" w:cs="FangSong" w:eastAsia="FangSong"/>
          <w:sz w:val="28"/>
        </w:rPr>
        <w:t>任一方未按约定履行义务，构成违约。违约方应在收到守约方书面通知后5个工作日内纠正；逾期未纠正的，应向守约方支付相当于合同总金额10%的违约金，并赔偿守约方因此遭受的直接经济损失（不包括间接损失、预期利益损失、商誉损失等）。乙方逾期交付的，每逾期一日，另按合同总额0.1%支付违约金；擅自转委托的，甲方有权立即解除合同，并要求乙方支付合同总额20%的违约金。</w:t>
      </w:r>
    </w:p>
    <w:p>
      <w:pPr>
        <w:spacing w:line="360" w:lineRule="auto" w:before="160" w:after="100"/>
        <w:jc w:val="left"/>
      </w:pPr>
      <w:r>
        <w:rPr>
          <w:b w:val="on"/>
          <w:i w:val="off"/>
          <w:u w:val="none"/>
          <w:strike w:val="off"/>
          <w:rFonts w:ascii="FangSong" w:hAnsi="FangSong" w:cs="FangSong" w:eastAsia="FangSong"/>
          <w:sz w:val="28"/>
        </w:rPr>
        <w:t>5. 低风险 - 争议解决风险</w:t>
      </w:r>
    </w:p>
    <w:p>
      <w:pPr>
        <w:spacing w:line="360" w:lineRule="auto"/>
        <w:jc w:val="left"/>
      </w:pPr>
      <w:r>
        <w:rPr>
          <w:b w:val="on"/>
          <w:i w:val="off"/>
          <w:u w:val="none"/>
          <w:strike w:val="off"/>
          <w:rFonts w:ascii="FangSong" w:hAnsi="FangSong" w:cs="FangSong" w:eastAsia="FangSong"/>
          <w:sz w:val="28"/>
        </w:rPr>
        <w:t>风险原文：</w:t>
      </w:r>
      <w:r>
        <w:rPr>
          <w:b w:val="off"/>
          <w:i w:val="off"/>
          <w:u w:val="none"/>
          <w:strike w:val="off"/>
          <w:rFonts w:ascii="FangSong" w:hAnsi="FangSong" w:cs="FangSong" w:eastAsia="FangSong"/>
          <w:sz w:val="28"/>
        </w:rPr>
        <w:t>因本合同产生的争议，双方应先友好协商；协商不成的，任一方可向甲方所在地有管辖权的人民法院提起诉讼。</w:t>
      </w:r>
    </w:p>
    <w:p>
      <w:pPr>
        <w:spacing w:line="360" w:lineRule="auto"/>
        <w:jc w:val="left"/>
      </w:pPr>
      <w:r>
        <w:rPr>
          <w:b w:val="on"/>
          <w:i w:val="off"/>
          <w:u w:val="none"/>
          <w:strike w:val="off"/>
          <w:rFonts w:ascii="FangSong" w:hAnsi="FangSong" w:cs="FangSong" w:eastAsia="FangSong"/>
          <w:sz w:val="28"/>
        </w:rPr>
        <w:t>风险原因：</w:t>
      </w:r>
      <w:r>
        <w:rPr>
          <w:b w:val="off"/>
          <w:i w:val="off"/>
          <w:u w:val="none"/>
          <w:strike w:val="off"/>
          <w:rFonts w:ascii="FangSong" w:hAnsi="FangSong" w:cs="FangSong" w:eastAsia="FangSong"/>
          <w:sz w:val="28"/>
        </w:rPr>
        <w:t>约定甲方所在地法院管辖合法有效，但未明确具体法院层级（如基层人民法院）及排除仲裁；结合甲方位于克拉玛依市，存在跨地域诉讼成本高、执行难问题，虽不违法但实操性较弱。</w:t>
      </w:r>
    </w:p>
    <w:p>
      <w:pPr>
        <w:spacing w:line="360" w:lineRule="auto"/>
        <w:jc w:val="left"/>
      </w:pPr>
      <w:r>
        <w:rPr>
          <w:b w:val="on"/>
          <w:i w:val="off"/>
          <w:u w:val="none"/>
          <w:strike w:val="off"/>
          <w:rFonts w:ascii="FangSong" w:hAnsi="FangSong" w:cs="FangSong" w:eastAsia="FangSong"/>
          <w:sz w:val="28"/>
        </w:rPr>
        <w:t>修改建议：</w:t>
      </w:r>
      <w:r>
        <w:rPr>
          <w:b w:val="off"/>
          <w:i w:val="off"/>
          <w:u w:val="none"/>
          <w:strike w:val="off"/>
          <w:rFonts w:ascii="FangSong" w:hAnsi="FangSong" w:cs="FangSong" w:eastAsia="FangSong"/>
          <w:sz w:val="28"/>
        </w:rPr>
        <w:t>保持法院管辖原则，但建议明确为‘甲方所在地即新疆维吾尔自治区克拉玛依市克拉玛依区人民法院’，提升确定性；或协商一致改为‘北京仲裁委员会’以平衡双方地理优势。</w:t>
      </w:r>
    </w:p>
    <w:p>
      <w:pPr>
        <w:spacing w:line="360" w:lineRule="auto"/>
        <w:jc w:val="left"/>
      </w:pPr>
      <w:r>
        <w:rPr>
          <w:b w:val="on"/>
          <w:i w:val="off"/>
          <w:u w:val="none"/>
          <w:strike w:val="off"/>
          <w:rFonts w:ascii="FangSong" w:hAnsi="FangSong" w:cs="FangSong" w:eastAsia="FangSong"/>
          <w:sz w:val="28"/>
        </w:rPr>
        <w:t>修改后条款：</w:t>
      </w:r>
      <w:r>
        <w:rPr>
          <w:b w:val="off"/>
          <w:i w:val="off"/>
          <w:u w:val="none"/>
          <w:strike w:val="off"/>
          <w:rFonts w:ascii="FangSong" w:hAnsi="FangSong" w:cs="FangSong" w:eastAsia="FangSong"/>
          <w:sz w:val="28"/>
        </w:rPr>
        <w:t>因本合同引起的或与本合同有关的任何争议，双方应首先通过友好协商解决；协商不成的，任一方均有权向甲方所在地即新疆维吾尔自治区克拉玛依市克拉玛依区人民法院提起诉讼。</w:t>
      </w:r>
    </w:p>
    <w:sectPr>
      <w:pgSz w:w="11906" w:h="16838"/>
      <w:pgMar w:top="1440" w:bottom="1440" w:left="1803" w:right="1803"/>
    </w:sectPr>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2026-06-24T07:59:10Z</dcterms:created>
  <dc:creator>Apache POI</dc:creator>
</cp:coreProperties>
</file>