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9E2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华东交通大学信息整理</w:t>
      </w:r>
    </w:p>
    <w:p w14:paraId="24138D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一、学校定位</w:t>
      </w:r>
    </w:p>
    <w:p w14:paraId="68F26C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华东交通大学（简称 "华东交大"）位于南昌，1971 年由原上海铁道学院迁赣组建，原隶属铁道部。现为国铁集团、国家铁路局与江西省人民政府 "双共建" 高校，江西省重点建设高校、中西部高校基础能力建设工程高校，具有学士 — 硕士 — 博士完整培养体系。</w:t>
      </w:r>
    </w:p>
    <w:p w14:paraId="3396E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学校以 "交通特色、轨道核心" 为办学定位，在轨道交通、铁道工程、电气化铁路、载运工具等领域行业认可度高，每年大量毕业生进入各铁路局、地铁公司及中铁建工系统，是江西省工科强校之一。</w:t>
      </w:r>
    </w:p>
    <w:p w14:paraId="4B4CA5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二、王牌与优势专业</w:t>
      </w:r>
    </w:p>
    <w:p w14:paraId="395BA6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国家级特色专业（4 个，核心王牌）：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土木工程（含铁道工程方向）、电气工程及其自动化（铁道电气化）、给排水科学与工程、自动化</w:t>
      </w:r>
    </w:p>
    <w:p w14:paraId="3EF0C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国家级一流本科专业建设点（代表性）：</w:t>
      </w:r>
    </w:p>
    <w:p w14:paraId="57C0C1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轨道 / 交通类：交通运输、铁道工程、轨道交通信号与控制、交通工程、车辆工程（含铁道车辆 / 动车组方向）</w:t>
      </w:r>
    </w:p>
    <w:p w14:paraId="4FADE7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电气 / 控制类：电气工程及其自动化、自动化、建筑电气与智能化、通信工程</w:t>
      </w:r>
    </w:p>
    <w:p w14:paraId="0048A4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土木 / 机械类：土木工程、给排水科学与工程、机械设计制造及其自动化、材料成型及控制工程</w:t>
      </w:r>
    </w:p>
    <w:p w14:paraId="2B847D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信息 / 经管类：计算机科学与技术、软件工程、会计学、人力资源管理、工程管理、物流管理</w:t>
      </w:r>
    </w:p>
    <w:p w14:paraId="6D840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省一流学科 / 强势方向：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交通运输工程（省高峰优势学科，有一级学科博士点）、控制科学与工程、土木工程</w:t>
      </w:r>
    </w:p>
    <w:p w14:paraId="06FD87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三、就业情况</w:t>
      </w:r>
    </w:p>
    <w:p w14:paraId="1CF1A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整体数据：</w:t>
      </w:r>
    </w:p>
    <w:p w14:paraId="552E26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去向落实率：2024 届本科毕业生去向落实率约 86.4%，王牌轨道类专业多在 93%~98%</w:t>
      </w:r>
    </w:p>
    <w:p w14:paraId="3AA907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升学率：整体国内升学率约 18.66%，部分王牌专业（如交通工程、土木铁道方向）考研率可达 30%~45%；保研率约 4%，电气等强势专业保研名额稍多</w:t>
      </w:r>
    </w:p>
    <w:p w14:paraId="61D9DB2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起薪参考：本科应届平均月薪约 6300~6500 元，王牌专业（电气铁道方向、信号控制等）入职铁路局 / 地铁 / 电网起薪常达 7000~9000 元 / 月</w:t>
      </w:r>
    </w:p>
    <w:p w14:paraId="177DF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主要就业单位：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约 40%~45% 毕业生进入国有企业，其中近半数进入轨道交通相关国企：</w:t>
      </w:r>
    </w:p>
    <w:p w14:paraId="233335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铁路系统：国铁集团下属各铁路局（南昌局、广州局、上海局录用人数居全国高校前列），主要从事运输调度、供电段、信号段、车辆段、工务段等岗位</w:t>
      </w:r>
    </w:p>
    <w:p w14:paraId="452B66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城轨 / 地铁：南昌、深圳、广州、杭州、上海等城市地铁集团（运营、信号、供电岗）</w:t>
      </w:r>
    </w:p>
    <w:p w14:paraId="085BD3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工程 / 制造：中国中铁、中国铁建（工程局）、中国中车（车辆厂）、中国通号</w:t>
      </w:r>
    </w:p>
    <w:p w14:paraId="60C8AD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其他：国家电网 / 南方电网（电气专业）、中建、比亚迪、部分 IT 企业（计科 / 软件去往珠三角）</w:t>
      </w:r>
    </w:p>
    <w:p w14:paraId="237C3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就业地域流向：</w:t>
      </w:r>
    </w:p>
    <w:p w14:paraId="62216B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江西省内约 32%~35%（南昌为主，服务于本地铁路局及地铁）</w:t>
      </w:r>
    </w:p>
    <w:p w14:paraId="0348D8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珠三角 / 长三角占比高，广东（深圳、广州）、上海、浙江、江苏为主要外地去向</w:t>
      </w:r>
    </w:p>
    <w:p w14:paraId="3E7701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随铁路系统分布，也会赴全国各铁路局所在城市</w:t>
      </w:r>
    </w:p>
    <w:p w14:paraId="6EA3A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王牌专业就业特点：</w:t>
      </w:r>
    </w:p>
    <w:p w14:paraId="343292E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交通运输（铁道方向）/ 轨道交通信号与控制：就业率 95%~98%，约 70%~80% 进铁路局运输 / 电务段或地铁运营 / 信号部门</w:t>
      </w:r>
    </w:p>
    <w:p w14:paraId="13E7C85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电气工程及其自动化（铁道电气化）：就业率约 96%，部分进国家电网 / 南方电网，部分进铁路局供电段，双渠道就业</w:t>
      </w:r>
    </w:p>
    <w:p w14:paraId="20F312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土木工程（铁道 / 桥梁方向）/ 铁道工程：就业率约 93%~96%，主要进中铁、铁建各工程局及部分设计院（含部分野外施工岗）</w:t>
      </w:r>
    </w:p>
    <w:p w14:paraId="51D8B4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车辆工程（轨道车辆 / 动车组）：就业率约 92%，主要进中车各主机厂、铁路局车辆段</w:t>
      </w:r>
    </w:p>
    <w:p w14:paraId="421254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计科 / 软件 / 自动化：除 IT 企业外，也有部分进入铁路电子、信号、信息化单位</w:t>
      </w:r>
    </w:p>
    <w:p w14:paraId="413EF3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四、宿舍情况</w:t>
      </w:r>
    </w:p>
    <w:p w14:paraId="602F9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本科生主要在双港校区（南昌经开区双港东大街 808 号）就读。</w:t>
      </w:r>
    </w:p>
    <w:p w14:paraId="2A637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房型布局：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绝大多数为四人间，大部分楼栋是上床下桌（北区基本全上床下桌，南区部分老楼有上下铺），床铺尺寸约 0.9×1.9 米，配衣柜和书桌。</w:t>
      </w:r>
    </w:p>
    <w:p w14:paraId="6DE32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卫浴设施：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部分较新楼栋（如北区 24 栋、南区部分）带独立卫生间 + 阳台 + 电热水器；无独卫的楼栋每层设公共浴室（有隔间）和公共卫生间，每栋均有开水机和扫码洗衣房。</w:t>
      </w:r>
    </w:p>
    <w:p w14:paraId="32D30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其他配置：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全校宿舍空调全覆盖，校园网端口入户，每月有额定免费用电量和水额度，超额均摊。周日至周四 23:00 左右熄灯（空调不断电），有门禁。</w:t>
      </w:r>
    </w:p>
    <w:p w14:paraId="3AE45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住宿费：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四人间上床下桌带独卫一般 1000 元 / 年，极少数上下铺或无独卫的老楼约 700~800 元 / 年。</w:t>
      </w:r>
    </w:p>
    <w:p w14:paraId="5E27E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分配方式：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按学院、专业、班级集中安排，新生一般不能自选楼栋，床位通常先到先选或按学号排。</w:t>
      </w:r>
      <w:bookmarkStart w:id="0" w:name="_GoBack"/>
      <w:bookmarkEnd w:id="0"/>
    </w:p>
    <w:p w14:paraId="53ABCE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五、转专业政策</w:t>
      </w:r>
    </w:p>
    <w:p w14:paraId="2BD88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申请时间与次数：</w:t>
      </w:r>
    </w:p>
    <w:p w14:paraId="143FB4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大一第二学期（大一下，通常 4–5 月）可申请第一次转专业，大二上学期转入</w:t>
      </w:r>
    </w:p>
    <w:p w14:paraId="582B36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大二第一学期可再申请第二次（二年级第二学期转入）</w:t>
      </w:r>
    </w:p>
    <w:p w14:paraId="730B217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在校期间只能成功转一次，获批后不得转回原专业</w:t>
      </w:r>
    </w:p>
    <w:p w14:paraId="32B9A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基本申请条件：</w:t>
      </w:r>
    </w:p>
    <w:p w14:paraId="2E79B5C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全日制普通本科在读，已注册缴费，无纪律处分</w:t>
      </w:r>
    </w:p>
    <w:p w14:paraId="23D3663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第一学年（或第一学期）所修课程全部合格，无不及格、无补考 / 重修记录</w:t>
      </w:r>
    </w:p>
    <w:p w14:paraId="1F68FFC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高考科类匹配：理工类限转理工类（新高考须含物理，部分要求含化学），文史类限转文史类，艺术 / 体育类限同类内互转</w:t>
      </w:r>
    </w:p>
    <w:p w14:paraId="209F354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中外合作办学专业不可转入普通类专业；软件工程、会计学（国际班）等高收费专业不可转入普通收费专业（软件工程各方向之间可由学院自行安排互转）</w:t>
      </w:r>
    </w:p>
    <w:p w14:paraId="587541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名额与转出审核：</w:t>
      </w:r>
    </w:p>
    <w:p w14:paraId="0407EE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第一次转专业：各专业转出人数≤同年级该专业总人数的 30%，转入计划≤30%</w:t>
      </w:r>
    </w:p>
    <w:p w14:paraId="4190E6A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第二次转专业：转出≤10%，转入≤10%</w:t>
      </w:r>
    </w:p>
    <w:p w14:paraId="41BD3AC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若申请转出人数超额，一般按第一学年平均学分绩点（GPA）从高到低排序，GPA 相同则依次比较《高等数学》《大学英语》成绩确定名单</w:t>
      </w:r>
    </w:p>
    <w:p w14:paraId="0A10E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转入考核方式（各学院自定）：</w:t>
      </w:r>
    </w:p>
    <w:p w14:paraId="18CA8F8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电气、信息与软件工程等热门工科：通常笔试《高等数学》（或英语 + 数学），加面试，按综合成绩择优录取；申请转入软件工程常要求原专业排名前 70%</w:t>
      </w:r>
    </w:p>
    <w:p w14:paraId="007788A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交通运输、土木、测绘等学院：多为面试考核（部分交通类专业含笔试），重点考察专业适应能力和综合素质</w:t>
      </w:r>
    </w:p>
    <w:p w14:paraId="1CAADEB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热门专业（电气、计科、软件、交运等）竞争激烈，一般要求高数≥70 分且绩点排名靠前</w:t>
      </w:r>
    </w:p>
    <w:p w14:paraId="7FF42F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不予转专业情形：</w:t>
      </w:r>
    </w:p>
    <w:p w14:paraId="572DC4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已有一次成功转专业经历者</w:t>
      </w:r>
    </w:p>
    <w:p w14:paraId="578A03C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特殊招生形式录取（定向、委培、高水平运动员等，按国家规定）</w:t>
      </w:r>
    </w:p>
    <w:p w14:paraId="483B47B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休学、保留学籍期间或受处分未解除者</w:t>
      </w:r>
    </w:p>
    <w:p w14:paraId="66E329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AD95D"/>
    <w:multiLevelType w:val="multilevel"/>
    <w:tmpl w:val="95BAD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E16610"/>
    <w:multiLevelType w:val="multilevel"/>
    <w:tmpl w:val="9EE16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03FE29"/>
    <w:multiLevelType w:val="multilevel"/>
    <w:tmpl w:val="A803F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33FB42"/>
    <w:multiLevelType w:val="multilevel"/>
    <w:tmpl w:val="A933F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D56F4EC"/>
    <w:multiLevelType w:val="multilevel"/>
    <w:tmpl w:val="AD56F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9163BCE"/>
    <w:multiLevelType w:val="multilevel"/>
    <w:tmpl w:val="C9163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B936065"/>
    <w:multiLevelType w:val="multilevel"/>
    <w:tmpl w:val="DB936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BF157F6"/>
    <w:multiLevelType w:val="multilevel"/>
    <w:tmpl w:val="EBF15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55262EE"/>
    <w:multiLevelType w:val="multilevel"/>
    <w:tmpl w:val="F5526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2BD196"/>
    <w:multiLevelType w:val="multilevel"/>
    <w:tmpl w:val="FE2BD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7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C2069"/>
    <w:rsid w:val="17EC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2026-07-13T13:16:00Z</dcterms:created>
  <dc:creator>WPS_1642688944</dc:creator>
  <cp:lastModifiedBy>WPS_1642688944</cp:lastModifiedBy>
  <dcterms:modified xsi:type="dcterms:W3CDTF">2026-07-13T13:17:30Z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8018190CD9AC408CAB232F36F9274A03_11</vt:lpwstr>
  </property>
  <property fmtid="{D5CDD505-2E9C-101B-9397-08002B2CF9AE}" pid="4" name="KSOTemplateDocerSaveRecord">
    <vt:lpwstr>eyJoZGlkIjoiNjNlODY5YTI5NWYxYzlkZmQ1NjIyZGFlYjgxNWMzYWIiLCJ1c2VySWQiOiIxMzE3NDY3OTQ5In0=</vt:lpwstr>
  </property>
</Properties>
</file>