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0A135">
      <w:pPr>
        <w:ind w:left="79" w:leftChars="-257" w:right="110" w:rightChars="50" w:hanging="644" w:hangingChars="230"/>
        <w:jc w:val="left"/>
        <w:rPr>
          <w:rFonts w:hint="eastAsia" w:ascii="新宋体" w:hAnsi="新宋体" w:eastAsia="新宋体"/>
          <w:spacing w:val="30"/>
          <w:kern w:val="10"/>
          <w:sz w:val="36"/>
          <w:szCs w:val="36"/>
        </w:rPr>
      </w:pPr>
      <w:r>
        <w:rPr>
          <w:rFonts w:hint="eastAsia"/>
          <w:sz w:val="28"/>
          <w:szCs w:val="28"/>
        </w:rPr>
        <mc:AlternateContent>
          <mc:Choice Requires="wps">
            <w:drawing>
              <wp:anchor distT="0" distB="0" distL="114300" distR="114300" simplePos="0" relativeHeight="251659264" behindDoc="0" locked="0" layoutInCell="1" allowOverlap="1">
                <wp:simplePos x="0" y="0"/>
                <wp:positionH relativeFrom="column">
                  <wp:posOffset>4457700</wp:posOffset>
                </wp:positionH>
                <wp:positionV relativeFrom="paragraph">
                  <wp:posOffset>99060</wp:posOffset>
                </wp:positionV>
                <wp:extent cx="1257300" cy="495300"/>
                <wp:effectExtent l="4445" t="4445" r="8255" b="8255"/>
                <wp:wrapNone/>
                <wp:docPr id="1" name="圆角矩形 1"/>
                <wp:cNvGraphicFramePr/>
                <a:graphic xmlns:a="http://schemas.openxmlformats.org/drawingml/2006/main">
                  <a:graphicData uri="http://schemas.microsoft.com/office/word/2010/wordprocessingShape">
                    <wps:wsp>
                      <wps:cNvSpPr/>
                      <wps:spPr>
                        <a:xfrm>
                          <a:off x="0" y="0"/>
                          <a:ext cx="1257300" cy="4953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124385F8">
                            <w:pPr>
                              <w:spacing w:line="240" w:lineRule="atLeast"/>
                              <w:rPr>
                                <w:sz w:val="36"/>
                                <w:szCs w:val="36"/>
                                <w:u w:val="single"/>
                              </w:rPr>
                            </w:pPr>
                            <w:r>
                              <w:rPr>
                                <w:rFonts w:hint="eastAsia"/>
                                <w:sz w:val="36"/>
                                <w:szCs w:val="36"/>
                              </w:rPr>
                              <w:t xml:space="preserve">分数：   </w:t>
                            </w:r>
                          </w:p>
                        </w:txbxContent>
                      </wps:txbx>
                      <wps:bodyPr upright="1"/>
                    </wps:wsp>
                  </a:graphicData>
                </a:graphic>
              </wp:anchor>
            </w:drawing>
          </mc:Choice>
          <mc:Fallback>
            <w:pict>
              <v:roundrect id="_x0000_s1026" o:spid="_x0000_s1026" o:spt="2" style="position:absolute;left:0pt;margin-left:351pt;margin-top:7.8pt;height:39pt;width:99pt;z-index:251659264;mso-width-relative:page;mso-height-relative:page;" coordsize="21600,21600" arcsize="0.166666666666667" o:gfxdata="UEsDBAoAAAAAAIdO4kAAAAAAAAAAAAAAAAAEAAAAZHJzL1BLAwQUAAAACACHTuJADC11g9UAAAAJ&#10;AQAADwAAAGRycy9kb3ducmV2LnhtbE2PMU/DMBCFdyT+g3VIbNRuUQMNcTpUKmtF6MDoxEcSEZ9T&#10;20lLfz3HBNvdvad33yu2FzeIGUPsPWlYLhQIpMbbnloNx/f9wzOImAxZM3hCDd8YYVve3hQmt/5M&#10;bzhXqRUcQjE3GrqUxlzK2HToTFz4EYm1Tx+cSbyGVtpgzhzuBrlSKpPO9MQfOjPirsPmq5qchsaq&#10;SYWP+bCp16m6ztOJ5OtJ6/u7pXoBkfCS/szwi8/oUDJT7SeyUQwantSKuyQW1hkINmyU4kPNw2MG&#10;sizk/wblD1BLAwQUAAAACACHTuJA6K2MESACAABWBAAADgAAAGRycy9lMm9Eb2MueG1srVTLjtMw&#10;FN0j8Q+W9zRpoR0majoLStkgGDHwAa4fiZFfst0m/QE+gDUSEpsRH8HnjOAzuHZC5wGLLsgiuY7v&#10;PTn3nOssL3qt0J77IK2p8XRSYsQNtUyapsYf3m+ePMcoRGIYUdbwGh94wBerx4+Wnav4zLZWMe4R&#10;gJhQda7GbYyuKopAW65JmFjHDWwK6zWJsPRNwTzpAF2rYlaWi6KznjlvKQ8B3q6HTTwi+lMArRCS&#10;8rWlO81NHFA9VyRCS6GVLuBVZisEp/GtEIFHpGoMncZ8h49AvE33YrUkVeOJayUdKZBTKDzoSRNp&#10;4KNHqDWJBO28/AtKS+ptsCJOqNXF0EhWBLqYlg+0uWqJ47kXkDq4o+jh/8HSN/tLjySDScDIEA2G&#10;33z59Ov688+v329+fEPTpFDnQgWJV+7Sj6sAYWq3F16nJzSC+qzq4agq7yOi8HI6m589LUFwCnvP&#10;zucpBpjittr5EF9xq1EKauztzrB3YF1WlOxfh5ilZSNBwj5iJLQCo/ZEoelisTgbEcdkwP6DmSqD&#10;VZJtpFJ54ZvtC+URlNZ4k6+x+F6aMqir8fl8NgfiBOZcwHxBqB1oFUyTud2rCHeBy3z9CzgRW5PQ&#10;DgQyQkojVcsJe2kYigcHLhg4fDhR0JxhpDic1RTlzEikOiUTZFAGlE7+DY6lKPbbfrRxa9kB7N85&#10;L5sWlM9u53QYt2zReDTSPN9dZ9Db38Hq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wtdYPVAAAA&#10;CQEAAA8AAAAAAAAAAQAgAAAAIgAAAGRycy9kb3ducmV2LnhtbFBLAQIUABQAAAAIAIdO4kDorYwR&#10;IAIAAFYEAAAOAAAAAAAAAAEAIAAAACQBAABkcnMvZTJvRG9jLnhtbFBLBQYAAAAABgAGAFkBAAC2&#10;BQAAAAA=&#10;">
                <v:path/>
                <v:fill focussize="0,0"/>
                <v:stroke/>
                <v:imagedata o:title=""/>
                <o:lock v:ext="edit" grouping="f" rotation="f" text="f" aspectratio="f"/>
                <v:textbox>
                  <w:txbxContent>
                    <w:p w14:paraId="124385F8">
                      <w:pPr>
                        <w:spacing w:line="240" w:lineRule="atLeast"/>
                        <w:rPr>
                          <w:sz w:val="36"/>
                          <w:szCs w:val="36"/>
                          <w:u w:val="single"/>
                        </w:rPr>
                      </w:pPr>
                      <w:r>
                        <w:rPr>
                          <w:rFonts w:hint="eastAsia"/>
                          <w:sz w:val="36"/>
                          <w:szCs w:val="36"/>
                        </w:rPr>
                        <w:t xml:space="preserve">分数：   </w:t>
                      </w:r>
                    </w:p>
                  </w:txbxContent>
                </v:textbox>
              </v:roundrect>
            </w:pict>
          </mc:Fallback>
        </mc:AlternateContent>
      </w:r>
      <w:r>
        <w:rPr>
          <w:rFonts w:hint="eastAsia" w:ascii="新宋体" w:hAnsi="新宋体" w:eastAsia="新宋体"/>
          <w:spacing w:val="30"/>
          <w:kern w:val="10"/>
          <w:sz w:val="36"/>
          <w:szCs w:val="36"/>
        </w:rPr>
        <w:t xml:space="preserve">   </w:t>
      </w:r>
      <w:r>
        <w:rPr>
          <w:rFonts w:hint="eastAsia" w:ascii="新宋体" w:hAnsi="新宋体" w:eastAsia="新宋体"/>
          <w:spacing w:val="30"/>
          <w:kern w:val="10"/>
          <w:sz w:val="36"/>
          <w:szCs w:val="36"/>
        </w:rPr>
        <w:drawing>
          <wp:inline distT="0" distB="0" distL="114300" distR="114300">
            <wp:extent cx="1075055" cy="485140"/>
            <wp:effectExtent l="0" t="0" r="4445" b="10160"/>
            <wp:docPr id="2" name="图片 1" descr="1232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2321312"/>
                    <pic:cNvPicPr>
                      <a:picLocks noChangeAspect="1"/>
                    </pic:cNvPicPr>
                  </pic:nvPicPr>
                  <pic:blipFill>
                    <a:blip r:embed="rId6"/>
                    <a:stretch>
                      <a:fillRect/>
                    </a:stretch>
                  </pic:blipFill>
                  <pic:spPr>
                    <a:xfrm>
                      <a:off x="0" y="0"/>
                      <a:ext cx="1075055" cy="485140"/>
                    </a:xfrm>
                    <a:prstGeom prst="rect">
                      <a:avLst/>
                    </a:prstGeom>
                    <a:noFill/>
                    <a:ln>
                      <a:noFill/>
                    </a:ln>
                  </pic:spPr>
                </pic:pic>
              </a:graphicData>
            </a:graphic>
          </wp:inline>
        </w:drawing>
      </w:r>
    </w:p>
    <w:p w14:paraId="0F9380D6">
      <w:pPr>
        <w:ind w:left="110" w:leftChars="50" w:right="110" w:rightChars="50"/>
        <w:jc w:val="center"/>
        <w:rPr>
          <w:rFonts w:hint="eastAsia" w:ascii="新宋体" w:hAnsi="新宋体" w:eastAsia="新宋体"/>
          <w:spacing w:val="30"/>
          <w:kern w:val="10"/>
          <w:sz w:val="36"/>
          <w:szCs w:val="36"/>
        </w:rPr>
      </w:pPr>
    </w:p>
    <w:p w14:paraId="2F2D5374">
      <w:pPr>
        <w:ind w:left="110" w:leftChars="50" w:right="110" w:rightChars="50"/>
        <w:jc w:val="center"/>
        <w:rPr>
          <w:rFonts w:hint="eastAsia" w:ascii="华文新魏" w:hAnsi="新宋体" w:eastAsia="华文新魏"/>
          <w:spacing w:val="30"/>
          <w:kern w:val="10"/>
          <w:sz w:val="72"/>
          <w:szCs w:val="72"/>
        </w:rPr>
      </w:pPr>
      <w:r>
        <w:rPr>
          <w:rFonts w:hint="eastAsia" w:ascii="华文新魏" w:hAnsi="新宋体" w:eastAsia="华文新魏"/>
          <w:spacing w:val="30"/>
          <w:kern w:val="10"/>
          <w:sz w:val="72"/>
          <w:szCs w:val="72"/>
        </w:rPr>
        <w:t>创新创业学院实践报告</w:t>
      </w:r>
    </w:p>
    <w:p w14:paraId="14F40DB3">
      <w:pPr>
        <w:jc w:val="right"/>
        <w:rPr>
          <w:rFonts w:hint="eastAsia"/>
          <w:sz w:val="28"/>
          <w:szCs w:val="28"/>
        </w:rPr>
      </w:pPr>
    </w:p>
    <w:p w14:paraId="3D68C021">
      <w:pPr>
        <w:tabs>
          <w:tab w:val="left" w:pos="2260"/>
        </w:tabs>
        <w:rPr>
          <w:rFonts w:hint="eastAsia"/>
          <w:sz w:val="28"/>
          <w:szCs w:val="28"/>
        </w:rPr>
      </w:pPr>
      <w:r>
        <w:rPr>
          <w:sz w:val="28"/>
          <w:szCs w:val="28"/>
        </w:rPr>
        <w:tab/>
      </w:r>
      <w:r>
        <w:rPr>
          <w:rFonts w:hint="eastAsia"/>
          <w:sz w:val="28"/>
          <w:szCs w:val="28"/>
        </w:rPr>
        <w:t xml:space="preserve"> </w:t>
      </w:r>
    </w:p>
    <w:p w14:paraId="32B07529">
      <w:pPr>
        <w:rPr>
          <w:rFonts w:hint="eastAsia"/>
          <w:sz w:val="28"/>
          <w:szCs w:val="28"/>
        </w:rPr>
      </w:pPr>
    </w:p>
    <w:p w14:paraId="41E1AC2C">
      <w:pPr>
        <w:spacing w:line="360" w:lineRule="auto"/>
        <w:ind w:firstLine="1080" w:firstLineChars="300"/>
        <w:rPr>
          <w:rFonts w:hint="eastAsia" w:ascii="华文新魏" w:eastAsia="黑体"/>
          <w:sz w:val="36"/>
          <w:szCs w:val="36"/>
          <w:lang w:eastAsia="zh-CN"/>
        </w:rPr>
      </w:pPr>
      <w:r>
        <w:rPr>
          <w:rFonts w:hint="eastAsia" w:ascii="黑体" w:eastAsia="黑体"/>
          <w:sz w:val="36"/>
          <w:szCs w:val="36"/>
        </w:rPr>
        <w:t>实践班名称：</w:t>
      </w:r>
      <w:r>
        <w:rPr>
          <w:rFonts w:hint="eastAsia" w:ascii="黑体" w:eastAsia="黑体"/>
          <w:sz w:val="36"/>
          <w:szCs w:val="36"/>
          <w:u w:val="single"/>
        </w:rPr>
        <w:t xml:space="preserve">  </w:t>
      </w:r>
      <w:r>
        <w:rPr>
          <w:rFonts w:ascii="黑体" w:eastAsia="黑体"/>
          <w:sz w:val="36"/>
          <w:szCs w:val="36"/>
          <w:u w:val="single"/>
        </w:rPr>
        <w:t xml:space="preserve"> </w:t>
      </w:r>
      <w:r>
        <w:rPr>
          <w:rFonts w:hint="eastAsia" w:ascii="黑体" w:eastAsia="黑体"/>
          <w:sz w:val="36"/>
          <w:szCs w:val="36"/>
          <w:u w:val="single"/>
        </w:rPr>
        <w:t>无人机与嵌入式工坊</w:t>
      </w:r>
      <w:r>
        <w:rPr>
          <w:rFonts w:hint="eastAsia" w:ascii="黑体" w:eastAsia="黑体"/>
          <w:sz w:val="36"/>
          <w:szCs w:val="36"/>
          <w:u w:val="single"/>
        </w:rPr>
        <w:tab/>
      </w:r>
    </w:p>
    <w:p w14:paraId="2CEF532E">
      <w:pPr>
        <w:spacing w:line="360" w:lineRule="auto"/>
        <w:ind w:firstLine="1078" w:firstLineChars="333"/>
        <w:rPr>
          <w:rFonts w:ascii="黑体" w:eastAsia="黑体"/>
          <w:sz w:val="36"/>
          <w:u w:val="single"/>
        </w:rPr>
      </w:pPr>
      <w:r>
        <w:rPr>
          <w:rFonts w:hint="eastAsia" w:ascii="黑体" w:eastAsia="黑体"/>
          <w:spacing w:val="-18"/>
          <w:sz w:val="36"/>
          <w:szCs w:val="36"/>
        </w:rPr>
        <w:t xml:space="preserve">课 程 </w:t>
      </w:r>
      <w:r>
        <w:rPr>
          <w:rFonts w:hint="eastAsia" w:ascii="黑体" w:eastAsia="黑体"/>
          <w:spacing w:val="-18"/>
          <w:sz w:val="18"/>
          <w:szCs w:val="18"/>
        </w:rPr>
        <w:t xml:space="preserve"> </w:t>
      </w:r>
      <w:r>
        <w:rPr>
          <w:rFonts w:hint="eastAsia" w:ascii="黑体" w:eastAsia="黑体"/>
          <w:spacing w:val="-18"/>
          <w:sz w:val="36"/>
          <w:szCs w:val="36"/>
        </w:rPr>
        <w:t>名 称</w:t>
      </w:r>
      <w:r>
        <w:rPr>
          <w:rFonts w:hint="eastAsia" w:ascii="黑体" w:eastAsia="黑体"/>
          <w:sz w:val="36"/>
          <w:szCs w:val="36"/>
        </w:rPr>
        <w:t>：</w:t>
      </w:r>
      <w:r>
        <w:rPr>
          <w:rFonts w:hint="eastAsia" w:ascii="黑体" w:eastAsia="黑体"/>
          <w:sz w:val="36"/>
          <w:u w:val="single"/>
        </w:rPr>
        <w:t xml:space="preserve">   创新创业工程与实践 </w:t>
      </w:r>
      <w:r>
        <w:rPr>
          <w:rFonts w:ascii="黑体" w:eastAsia="黑体"/>
          <w:sz w:val="36"/>
          <w:u w:val="single"/>
        </w:rPr>
        <w:t xml:space="preserve">  </w:t>
      </w:r>
    </w:p>
    <w:p w14:paraId="666D861D">
      <w:pPr>
        <w:spacing w:line="360" w:lineRule="auto"/>
        <w:ind w:firstLine="3258" w:firstLineChars="905"/>
        <w:rPr>
          <w:rFonts w:hint="eastAsia" w:ascii="华文新魏" w:eastAsia="华文新魏"/>
          <w:sz w:val="36"/>
          <w:szCs w:val="36"/>
        </w:rPr>
      </w:pPr>
      <w:r>
        <w:rPr>
          <w:rFonts w:hint="eastAsia" w:ascii="黑体" w:eastAsia="黑体"/>
          <w:sz w:val="36"/>
          <w:u w:val="single"/>
        </w:rPr>
        <w:t xml:space="preserve"> </w:t>
      </w:r>
      <w:r>
        <w:rPr>
          <w:rFonts w:ascii="黑体" w:eastAsia="黑体"/>
          <w:sz w:val="36"/>
          <w:u w:val="single"/>
        </w:rPr>
        <w:t xml:space="preserve">  </w:t>
      </w:r>
      <w:r>
        <w:rPr>
          <w:rFonts w:hint="eastAsia" w:ascii="黑体" w:eastAsia="黑体"/>
          <w:sz w:val="36"/>
          <w:u w:val="single"/>
        </w:rPr>
        <w:t xml:space="preserve">无人机与嵌入式（二） </w:t>
      </w:r>
    </w:p>
    <w:p w14:paraId="19C4C832">
      <w:pPr>
        <w:widowControl w:val="0"/>
        <w:spacing w:after="0" w:line="360" w:lineRule="auto"/>
        <w:ind w:firstLine="1080" w:firstLineChars="300"/>
        <w:jc w:val="both"/>
        <w:rPr>
          <w:rFonts w:hint="default"/>
          <w:sz w:val="28"/>
          <w:szCs w:val="28"/>
          <w:u w:val="single"/>
          <w:lang w:val="en-US"/>
        </w:rPr>
      </w:pPr>
      <w:r>
        <w:rPr>
          <w:rFonts w:hint="eastAsia" w:ascii="黑体" w:eastAsia="黑体"/>
          <w:sz w:val="36"/>
          <w:szCs w:val="36"/>
        </w:rPr>
        <w:t>题      目：</w:t>
      </w:r>
      <w:r>
        <w:rPr>
          <w:rFonts w:hint="eastAsia" w:ascii="黑体" w:eastAsia="黑体"/>
          <w:sz w:val="36"/>
          <w:szCs w:val="36"/>
          <w:u w:val="single"/>
          <w:lang w:val="en-US" w:eastAsia="zh-CN"/>
        </w:rPr>
        <w:t xml:space="preserve">      信号源AD9833   </w:t>
      </w:r>
      <w:bookmarkStart w:id="0" w:name="_GoBack"/>
      <w:bookmarkEnd w:id="0"/>
      <w:r>
        <w:rPr>
          <w:rFonts w:hint="eastAsia" w:ascii="黑体" w:eastAsia="黑体"/>
          <w:sz w:val="36"/>
          <w:szCs w:val="36"/>
          <w:u w:val="single"/>
        </w:rPr>
        <w:tab/>
      </w:r>
      <w:r>
        <w:rPr>
          <w:rFonts w:hint="eastAsia" w:ascii="黑体" w:eastAsia="黑体"/>
          <w:sz w:val="36"/>
          <w:szCs w:val="36"/>
          <w:u w:val="single"/>
          <w:lang w:val="en-US" w:eastAsia="zh-CN"/>
        </w:rPr>
        <w:t xml:space="preserve"> </w:t>
      </w:r>
    </w:p>
    <w:p w14:paraId="2D2A7050">
      <w:pPr>
        <w:rPr>
          <w:rFonts w:hint="eastAsia"/>
          <w:sz w:val="32"/>
          <w:szCs w:val="32"/>
        </w:rPr>
      </w:pPr>
    </w:p>
    <w:p w14:paraId="5E0A81CC">
      <w:pPr>
        <w:ind w:firstLine="1977" w:firstLineChars="618"/>
        <w:rPr>
          <w:rFonts w:hint="eastAsia"/>
          <w:sz w:val="32"/>
          <w:szCs w:val="32"/>
          <w:u w:val="single"/>
        </w:rPr>
      </w:pPr>
      <w:r>
        <w:rPr>
          <w:rFonts w:hint="eastAsia"/>
          <w:sz w:val="32"/>
          <w:szCs w:val="32"/>
        </w:rPr>
        <w:t>院    系：</w:t>
      </w:r>
      <w:r>
        <w:rPr>
          <w:rFonts w:hint="eastAsia"/>
          <w:sz w:val="32"/>
          <w:szCs w:val="32"/>
          <w:u w:val="single"/>
          <w:lang w:val="en-US" w:eastAsia="zh-CN"/>
        </w:rPr>
        <w:t xml:space="preserve">  </w:t>
      </w:r>
      <w:r>
        <w:rPr>
          <w:rFonts w:hint="eastAsia"/>
          <w:sz w:val="32"/>
          <w:szCs w:val="32"/>
          <w:u w:val="single"/>
        </w:rPr>
        <w:t xml:space="preserve">   </w:t>
      </w:r>
    </w:p>
    <w:p w14:paraId="764BEA0E">
      <w:pPr>
        <w:ind w:firstLine="1977" w:firstLineChars="618"/>
        <w:rPr>
          <w:rFonts w:hint="eastAsia"/>
          <w:sz w:val="32"/>
          <w:szCs w:val="32"/>
          <w:u w:val="single"/>
        </w:rPr>
      </w:pPr>
      <w:r>
        <w:rPr>
          <w:rFonts w:hint="eastAsia"/>
          <w:sz w:val="32"/>
          <w:szCs w:val="32"/>
        </w:rPr>
        <w:t>班    级：</w:t>
      </w:r>
      <w:r>
        <w:rPr>
          <w:rFonts w:hint="eastAsia"/>
          <w:sz w:val="32"/>
          <w:szCs w:val="32"/>
          <w:u w:val="single"/>
        </w:rPr>
        <w:t xml:space="preserve">  </w:t>
      </w:r>
      <w:r>
        <w:rPr>
          <w:rFonts w:hint="eastAsia" w:ascii="黑体" w:eastAsia="黑体"/>
          <w:sz w:val="28"/>
          <w:szCs w:val="28"/>
          <w:u w:val="single"/>
        </w:rPr>
        <w:t xml:space="preserve"> </w:t>
      </w:r>
      <w:r>
        <w:rPr>
          <w:rFonts w:ascii="黑体" w:eastAsia="黑体"/>
          <w:sz w:val="28"/>
          <w:szCs w:val="28"/>
          <w:u w:val="single"/>
        </w:rPr>
        <w:t xml:space="preserve">              </w:t>
      </w:r>
      <w:r>
        <w:rPr>
          <w:rFonts w:hint="eastAsia"/>
          <w:sz w:val="32"/>
          <w:szCs w:val="32"/>
          <w:u w:val="single"/>
        </w:rPr>
        <w:t xml:space="preserve">       </w:t>
      </w:r>
    </w:p>
    <w:p w14:paraId="41A9D6D6">
      <w:pPr>
        <w:ind w:firstLine="1977" w:firstLineChars="618"/>
        <w:rPr>
          <w:rFonts w:hint="eastAsia"/>
          <w:sz w:val="32"/>
          <w:szCs w:val="32"/>
          <w:u w:val="single"/>
        </w:rPr>
      </w:pPr>
      <w:r>
        <w:rPr>
          <w:rFonts w:hint="eastAsia"/>
          <w:sz w:val="32"/>
          <w:szCs w:val="32"/>
        </w:rPr>
        <w:t>学生姓名：</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ascii="黑体" w:eastAsia="黑体"/>
          <w:sz w:val="28"/>
          <w:szCs w:val="28"/>
          <w:u w:val="single"/>
        </w:rPr>
        <w:t xml:space="preserve">    </w:t>
      </w:r>
      <w:r>
        <w:rPr>
          <w:rFonts w:hint="eastAsia"/>
          <w:sz w:val="32"/>
          <w:szCs w:val="32"/>
          <w:u w:val="single"/>
        </w:rPr>
        <w:t xml:space="preserve">         </w:t>
      </w:r>
    </w:p>
    <w:p w14:paraId="5E26C80D">
      <w:pPr>
        <w:ind w:firstLine="1977" w:firstLineChars="618"/>
        <w:rPr>
          <w:rFonts w:hint="eastAsia"/>
          <w:sz w:val="32"/>
          <w:szCs w:val="32"/>
          <w:u w:val="single"/>
        </w:rPr>
      </w:pPr>
      <w:r>
        <w:rPr>
          <w:rFonts w:hint="eastAsia"/>
          <w:sz w:val="32"/>
          <w:szCs w:val="32"/>
        </w:rPr>
        <w:t>学    号：</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2881388B">
      <w:pPr>
        <w:ind w:firstLine="1977" w:firstLineChars="618"/>
        <w:rPr>
          <w:rFonts w:hint="eastAsia"/>
          <w:sz w:val="32"/>
          <w:szCs w:val="32"/>
        </w:rPr>
      </w:pPr>
      <w:r>
        <w:rPr>
          <w:rFonts w:hint="eastAsia"/>
          <w:sz w:val="32"/>
          <w:szCs w:val="32"/>
        </w:rPr>
        <w:t>完成日期：</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月</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日</w:t>
      </w:r>
    </w:p>
    <w:p w14:paraId="055AC430">
      <w:pPr>
        <w:jc w:val="both"/>
        <w:sectPr>
          <w:pgSz w:w="12240" w:h="15840"/>
          <w:pgMar w:top="1417" w:right="1417" w:bottom="1417" w:left="1587" w:header="720" w:footer="720" w:gutter="0"/>
          <w:cols w:space="720" w:num="1"/>
          <w:docGrid w:linePitch="360" w:charSpace="0"/>
        </w:sectPr>
      </w:pPr>
    </w:p>
    <w:p w14:paraId="15CCBFAB">
      <w:pPr>
        <w:pStyle w:val="3"/>
      </w:pPr>
      <w:r>
        <w:rPr>
          <w:rFonts w:ascii="黑体" w:hAnsi="黑体" w:eastAsia="黑体"/>
        </w:rPr>
        <w:t>摘  要</w:t>
      </w:r>
    </w:p>
    <w:p w14:paraId="2A4E3BC6">
      <w:pPr>
        <w:ind w:firstLine="440"/>
      </w:pPr>
      <w:r>
        <w:rPr>
          <w:rFonts w:ascii="宋体" w:hAnsi="宋体" w:eastAsia="宋体"/>
          <w:b w:val="0"/>
          <w:sz w:val="22"/>
        </w:rPr>
        <w:t>本报告详细记录了一个基于 STM32F103C8T6 微控制器与 AD9833 DDS（直接数字频率合成）芯片的可编程信号源项目的完整设计、实现与调试过程。该信号源能够通过串口命令实时控制输出信号的频率与波形，支持正弦波、三角波和方波三种波形，频率范围为 0.1 Hz 至 12.5 MHz，频率分辨率达到 0.093 Hz。本项目是全国大学生电子设计大赛（以下简称"电赛"）仪表方向各赛的核心准备工作之一，旨在为后续的信号测量、锁相放大、阻抗分析等仪器类题目提供可控的信号激励源。</w:t>
      </w:r>
    </w:p>
    <w:p w14:paraId="78F4149B">
      <w:pPr>
        <w:ind w:firstLine="440"/>
      </w:pPr>
      <w:r>
        <w:rPr>
          <w:rFonts w:ascii="宋体" w:hAnsi="宋体" w:eastAsia="宋体"/>
          <w:b w:val="0"/>
          <w:sz w:val="22"/>
        </w:rPr>
        <w:t>在项目实施过程中，本文作者严格遵循"数据手册驱动开发"的方法论——从 AD9833 芯片数据手册的时序图和寄存器表出发，推导出 SPI 通信参数（CPOL=1、CPHA=0，即 Mode 2）、每一位控制位的宏定义、频率字计算公式（freq_word = f_out × 2^28 / 25MHz），并最终在 STM32CubeIDE 中完成 CubeMX 外设配置、HAL 库驱动程序编写和串口命令交互功能的实现。经过示波器实测，三种波形的频率精度和波形质量均符合预期。开发过程中发现并修复了两个关键技术问题——SPI 时钟相位配置错误与波形切换时寄存器位覆盖 bug，深刻认识到"不凭感觉、严格对照手册"在嵌入式开发中的重要性。</w:t>
      </w:r>
    </w:p>
    <w:p w14:paraId="2FD08817">
      <w:pPr>
        <w:ind w:firstLine="440"/>
      </w:pPr>
      <w:r>
        <w:rPr>
          <w:rFonts w:ascii="宋体" w:hAnsi="宋体" w:eastAsia="宋体"/>
          <w:b w:val="0"/>
          <w:sz w:val="22"/>
        </w:rPr>
        <w:t>**关键词**：AD9833；DDS 信号源；STM32F103C8T6；SPI 通信；电子设计大赛；仪表方向</w:t>
      </w:r>
    </w:p>
    <w:p w14:paraId="36969EE4">
      <w:pPr>
        <w:pStyle w:val="3"/>
      </w:pPr>
      <w:r>
        <w:rPr>
          <w:rFonts w:ascii="黑体" w:hAnsi="黑体" w:eastAsia="黑体"/>
        </w:rPr>
        <w:t>一、项目背景与意义</w:t>
      </w:r>
    </w:p>
    <w:p w14:paraId="749D4C05">
      <w:pPr>
        <w:pStyle w:val="4"/>
      </w:pPr>
      <w:r>
        <w:rPr>
          <w:rFonts w:ascii="黑体" w:hAnsi="黑体" w:eastAsia="黑体"/>
        </w:rPr>
        <w:t>1.1 全国大学生电子设计大赛简介</w:t>
      </w:r>
    </w:p>
    <w:p w14:paraId="49C05203">
      <w:pPr>
        <w:ind w:firstLine="440"/>
      </w:pPr>
      <w:r>
        <w:rPr>
          <w:rFonts w:ascii="宋体" w:hAnsi="宋体" w:eastAsia="宋体"/>
          <w:b w:val="0"/>
          <w:sz w:val="22"/>
        </w:rPr>
        <w:t>全国大学生电子设计大赛是教育部与工业和信息化部共同发起的大学生学科竞赛，每两年举办一届，是我国电子信息类领域规模最大、影响力最广的本科生赛事之一。比赛采用"半封闭、相对集中"的组织方式，参赛队伍需在四天三夜的时间内，根据赛题要求完成从方案设计、电路制作、程序编写到报告撰写的完整流程。电赛题目通常分为电源类、信号类、控制类、仪器仪表类、通信类等多个方向，其中仪器仪表方向（简称"仪表方向"）重点考察参赛选手对微弱信号检测、精密测量、传感器信号调理等技术的掌握程度。</w:t>
      </w:r>
    </w:p>
    <w:p w14:paraId="1033AC61">
      <w:pPr>
        <w:pStyle w:val="4"/>
      </w:pPr>
      <w:r>
        <w:rPr>
          <w:rFonts w:ascii="黑体" w:hAnsi="黑体" w:eastAsia="黑体"/>
        </w:rPr>
        <w:t>1.2 信号源在电赛仪表题中的核心地位</w:t>
      </w:r>
    </w:p>
    <w:p w14:paraId="2063BC6C">
      <w:pPr>
        <w:ind w:firstLine="440"/>
      </w:pPr>
      <w:r>
        <w:rPr>
          <w:rFonts w:ascii="宋体" w:hAnsi="宋体" w:eastAsia="宋体"/>
          <w:b w:val="0"/>
          <w:sz w:val="22"/>
        </w:rPr>
        <w:t>在仪表方向的赛题中，无论是要搭建锁相放大器（LIA）检测微弱信号、做阻抗分析仪测量电容/电感参数，还是设计功率计进行电能质量分析，都需要一个高精度、可编程的信号源作为激励或参考。传统的商用信号发生器价格昂贵（数千至上万元）、体积大，不符合电赛"低成本、可自制"的要求。因此，独立设计和制作一个基于 DDS 技术的信号源模块，不仅满足电赛对自制设备的要求，还能在赛前积累关键的嵌入式系统开发经验。</w:t>
      </w:r>
    </w:p>
    <w:p w14:paraId="06C90A4A">
      <w:pPr>
        <w:pStyle w:val="4"/>
      </w:pPr>
      <w:r>
        <w:rPr>
          <w:rFonts w:ascii="黑体" w:hAnsi="黑体" w:eastAsia="黑体"/>
        </w:rPr>
        <w:t>1.3 DDS 技术简介</w:t>
      </w:r>
    </w:p>
    <w:p w14:paraId="30BCF460">
      <w:pPr>
        <w:ind w:firstLine="440"/>
      </w:pPr>
      <w:r>
        <w:rPr>
          <w:rFonts w:ascii="宋体" w:hAnsi="宋体" w:eastAsia="宋体"/>
          <w:b w:val="0"/>
          <w:sz w:val="22"/>
        </w:rPr>
        <w:t>DDS（Direct Digital Synthesis，直接数字频率合成）是一种从相位概念出发直接合成所需波形的频率合成技术。其核心原理是：将一个周期波形的形状数字化后存入 ROM（只读存储器）中，通过相位累加器在每个时钟周期不断累加一个频率控制字，然后用累加后的相位值作为地址去查表，再经 DAC（数模转换器）和低通滤波器还原为模拟波形。DDS 相较于传统 PLL（锁相环）频率合成，具有频率分辨率极高（可达 μHz 级）、频率切换速度快（ns 级）、相位噪声低等显著优势。AD9833 是 Analog Devices 公司推出的低功耗、可编程 DDS 波形发生器芯片，内部集成了相位累加器、正弦查找表 ROM 和 10 位 DAC，仅需一个外部时钟源和少量被动元件即可输出高质量的正弦波、三角波和方波，是嵌入式信号源设计的理想选择。</w:t>
      </w:r>
    </w:p>
    <w:p w14:paraId="4E3066D9">
      <w:pPr>
        <w:pStyle w:val="3"/>
      </w:pPr>
      <w:r>
        <w:rPr>
          <w:rFonts w:ascii="黑体" w:hAnsi="黑体" w:eastAsia="黑体"/>
        </w:rPr>
        <w:t>二、系统总体方案设计</w:t>
      </w:r>
    </w:p>
    <w:p w14:paraId="7BD89AAE">
      <w:pPr>
        <w:pStyle w:val="4"/>
      </w:pPr>
      <w:r>
        <w:rPr>
          <w:rFonts w:ascii="黑体" w:hAnsi="黑体" w:eastAsia="黑体"/>
        </w:rPr>
        <w:t>2.1 系统架构</w:t>
      </w:r>
    </w:p>
    <w:p w14:paraId="4B147B65">
      <w:pPr>
        <w:ind w:firstLine="440"/>
      </w:pPr>
      <w:r>
        <w:rPr>
          <w:rFonts w:ascii="宋体" w:hAnsi="宋体" w:eastAsia="宋体"/>
          <w:b w:val="0"/>
          <w:sz w:val="22"/>
        </w:rPr>
        <w:t>本信号源系统采用"MCU + DDS 芯片"的主从结构，系统框架如图 1 所示。上位机（串口调试助手）通过 UART 发送命令给 STM32 主控，STM32 解析命令后通过 SPI 总线控制 AD9833 DDS 模块，AD9833 根据指令输出相应频率和波形的模拟信号。示波器用于观察和验证输出波形。</w:t>
      </w:r>
    </w:p>
    <w:p w14:paraId="7CFE9FE8">
      <w:pPr>
        <w:spacing w:before="80" w:after="80"/>
        <w:ind w:left="567"/>
      </w:pPr>
      <w:r>
        <w:rPr>
          <w:rFonts w:ascii="Consolas" w:hAnsi="Consolas" w:eastAsia="宋体"/>
          <w:sz w:val="18"/>
        </w:rPr>
        <w:t>┌──────────┐   UART    ┌───────────┐   SPI     ┌──────────┐   模拟信号   ┌──────┐</w:t>
      </w:r>
      <w:r>
        <w:rPr>
          <w:rFonts w:ascii="Consolas" w:hAnsi="Consolas" w:eastAsia="宋体"/>
          <w:sz w:val="18"/>
        </w:rPr>
        <w:br w:type="textWrapping"/>
      </w:r>
      <w:r>
        <w:rPr>
          <w:rFonts w:ascii="Consolas" w:hAnsi="Consolas" w:eastAsia="宋体"/>
          <w:sz w:val="18"/>
        </w:rPr>
        <w:t>│ 串口助手  │──────────▶│ STM32F103 │─────────▶│ AD9833   │───────────▶│ 示波器 │</w:t>
      </w:r>
      <w:r>
        <w:rPr>
          <w:rFonts w:ascii="Consolas" w:hAnsi="Consolas" w:eastAsia="宋体"/>
          <w:sz w:val="18"/>
        </w:rPr>
        <w:br w:type="textWrapping"/>
      </w:r>
      <w:r>
        <w:rPr>
          <w:rFonts w:ascii="Consolas" w:hAnsi="Consolas" w:eastAsia="宋体"/>
          <w:sz w:val="18"/>
        </w:rPr>
        <w:t>│  (上位机) │           │  (主控)    │          │  (DDS)   │            │      │</w:t>
      </w:r>
      <w:r>
        <w:rPr>
          <w:rFonts w:ascii="Consolas" w:hAnsi="Consolas" w:eastAsia="宋体"/>
          <w:sz w:val="18"/>
        </w:rPr>
        <w:br w:type="textWrapping"/>
      </w:r>
      <w:r>
        <w:rPr>
          <w:rFonts w:ascii="Consolas" w:hAnsi="Consolas" w:eastAsia="宋体"/>
          <w:sz w:val="18"/>
        </w:rPr>
        <w:t>└──────────┘           └───────────┘          └──────────┘            └──────┘</w:t>
      </w:r>
      <w:r>
        <w:rPr>
          <w:rFonts w:ascii="Consolas" w:hAnsi="Consolas" w:eastAsia="宋体"/>
          <w:sz w:val="18"/>
        </w:rPr>
        <w:br w:type="textWrapping"/>
      </w:r>
      <w:r>
        <w:rPr>
          <w:rFonts w:ascii="Consolas" w:hAnsi="Consolas" w:eastAsia="宋体"/>
          <w:sz w:val="18"/>
        </w:rPr>
        <w:t xml:space="preserve">                           │                      │</w:t>
      </w:r>
      <w:r>
        <w:rPr>
          <w:rFonts w:ascii="Consolas" w:hAnsi="Consolas" w:eastAsia="宋体"/>
          <w:sz w:val="18"/>
        </w:rPr>
        <w:br w:type="textWrapping"/>
      </w:r>
      <w:r>
        <w:rPr>
          <w:rFonts w:ascii="Consolas" w:hAnsi="Consolas" w:eastAsia="宋体"/>
          <w:sz w:val="18"/>
        </w:rPr>
        <w:t xml:space="preserve">                      USB供电              25MHz 时钟</w:t>
      </w:r>
      <w:r>
        <w:rPr>
          <w:rFonts w:ascii="Consolas" w:hAnsi="Consolas" w:eastAsia="宋体"/>
          <w:sz w:val="18"/>
        </w:rPr>
        <w:br w:type="textWrapping"/>
      </w:r>
      <w:r>
        <w:rPr>
          <w:rFonts w:ascii="Consolas" w:hAnsi="Consolas" w:eastAsia="宋体"/>
          <w:sz w:val="18"/>
        </w:rPr>
        <w:t xml:space="preserve">                                              ↓</w:t>
      </w:r>
      <w:r>
        <w:rPr>
          <w:rFonts w:ascii="Consolas" w:hAnsi="Consolas" w:eastAsia="宋体"/>
          <w:sz w:val="18"/>
        </w:rPr>
        <w:br w:type="textWrapping"/>
      </w:r>
      <w:r>
        <w:rPr>
          <w:rFonts w:ascii="Consolas" w:hAnsi="Consolas" w:eastAsia="宋体"/>
          <w:sz w:val="18"/>
        </w:rPr>
        <w:t xml:space="preserve">                                    0.1Hz ~ 12.5MHz 信号输出</w:t>
      </w:r>
    </w:p>
    <w:p w14:paraId="292BE7B7">
      <w:pPr>
        <w:pStyle w:val="4"/>
      </w:pPr>
      <w:r>
        <w:rPr>
          <w:rFonts w:ascii="黑体" w:hAnsi="黑体" w:eastAsia="黑体"/>
        </w:rPr>
        <w:t>2.2 硬件选型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43116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shd w:val="clear" w:color="auto" w:fill="D9E2F3"/>
          </w:tcPr>
          <w:p w14:paraId="6A759B9F">
            <w:pPr>
              <w:jc w:val="center"/>
            </w:pPr>
            <w:r>
              <w:rPr>
                <w:rFonts w:ascii="宋体" w:hAnsi="宋体" w:eastAsia="宋体"/>
                <w:b/>
                <w:sz w:val="20"/>
              </w:rPr>
              <w:t>模块</w:t>
            </w:r>
          </w:p>
        </w:tc>
        <w:tc>
          <w:tcPr>
            <w:tcW w:w="3079" w:type="dxa"/>
            <w:shd w:val="clear" w:color="auto" w:fill="D9E2F3"/>
          </w:tcPr>
          <w:p w14:paraId="6EE7DC44">
            <w:pPr>
              <w:jc w:val="center"/>
            </w:pPr>
            <w:r>
              <w:rPr>
                <w:rFonts w:ascii="宋体" w:hAnsi="宋体" w:eastAsia="宋体"/>
                <w:b/>
                <w:sz w:val="20"/>
              </w:rPr>
              <w:t>型号/参数</w:t>
            </w:r>
          </w:p>
        </w:tc>
        <w:tc>
          <w:tcPr>
            <w:tcW w:w="3079" w:type="dxa"/>
            <w:shd w:val="clear" w:color="auto" w:fill="D9E2F3"/>
          </w:tcPr>
          <w:p w14:paraId="24866C22">
            <w:pPr>
              <w:jc w:val="center"/>
            </w:pPr>
            <w:r>
              <w:rPr>
                <w:rFonts w:ascii="宋体" w:hAnsi="宋体" w:eastAsia="宋体"/>
                <w:b/>
                <w:sz w:val="20"/>
              </w:rPr>
              <w:t>选型理由</w:t>
            </w:r>
          </w:p>
        </w:tc>
      </w:tr>
      <w:tr w14:paraId="1A52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603AFF3D">
            <w:pPr>
              <w:jc w:val="center"/>
            </w:pPr>
            <w:r>
              <w:rPr>
                <w:rFonts w:ascii="宋体" w:hAnsi="宋体" w:eastAsia="宋体"/>
                <w:sz w:val="20"/>
              </w:rPr>
              <w:t>主控 MCU</w:t>
            </w:r>
          </w:p>
        </w:tc>
        <w:tc>
          <w:tcPr>
            <w:tcW w:w="3079" w:type="dxa"/>
          </w:tcPr>
          <w:p w14:paraId="698D6A5D">
            <w:pPr>
              <w:jc w:val="center"/>
            </w:pPr>
            <w:r>
              <w:rPr>
                <w:rFonts w:ascii="宋体" w:hAnsi="宋体" w:eastAsia="宋体"/>
                <w:sz w:val="20"/>
              </w:rPr>
              <w:t>STM32F103C8T6 (Blue Pill)</w:t>
            </w:r>
          </w:p>
        </w:tc>
        <w:tc>
          <w:tcPr>
            <w:tcW w:w="3079" w:type="dxa"/>
          </w:tcPr>
          <w:p w14:paraId="0B3276CD">
            <w:pPr>
              <w:jc w:val="center"/>
            </w:pPr>
            <w:r>
              <w:rPr>
                <w:rFonts w:ascii="宋体" w:hAnsi="宋体" w:eastAsia="宋体"/>
                <w:sz w:val="20"/>
              </w:rPr>
              <w:t>ARM Cortex-M3, 72MHz, SPI+UART丰富, 参考资料多, 价格低</w:t>
            </w:r>
          </w:p>
        </w:tc>
      </w:tr>
      <w:tr w14:paraId="5084E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3E338B6F">
            <w:pPr>
              <w:jc w:val="center"/>
            </w:pPr>
            <w:r>
              <w:rPr>
                <w:rFonts w:ascii="宋体" w:hAnsi="宋体" w:eastAsia="宋体"/>
                <w:sz w:val="20"/>
              </w:rPr>
              <w:t>DDS 模块</w:t>
            </w:r>
          </w:p>
        </w:tc>
        <w:tc>
          <w:tcPr>
            <w:tcW w:w="3079" w:type="dxa"/>
          </w:tcPr>
          <w:p w14:paraId="53BDA041">
            <w:pPr>
              <w:jc w:val="center"/>
            </w:pPr>
            <w:r>
              <w:rPr>
                <w:rFonts w:ascii="宋体" w:hAnsi="宋体" w:eastAsia="宋体"/>
                <w:sz w:val="20"/>
              </w:rPr>
              <w:t>AD9833 V40 模块</w:t>
            </w:r>
          </w:p>
        </w:tc>
        <w:tc>
          <w:tcPr>
            <w:tcW w:w="3079" w:type="dxa"/>
          </w:tcPr>
          <w:p w14:paraId="0C036D58">
            <w:pPr>
              <w:jc w:val="center"/>
            </w:pPr>
            <w:r>
              <w:rPr>
                <w:rFonts w:ascii="宋体" w:hAnsi="宋体" w:eastAsia="宋体"/>
                <w:sz w:val="20"/>
              </w:rPr>
              <w:t>集成 25MHz 有源晶振, 3.3V 供电, 芯片手册详尽, 模块即插即用</w:t>
            </w:r>
          </w:p>
        </w:tc>
      </w:tr>
      <w:tr w14:paraId="45EF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6220E79F">
            <w:pPr>
              <w:jc w:val="center"/>
            </w:pPr>
            <w:r>
              <w:rPr>
                <w:rFonts w:ascii="宋体" w:hAnsi="宋体" w:eastAsia="宋体"/>
                <w:sz w:val="20"/>
              </w:rPr>
              <w:t>调试工具</w:t>
            </w:r>
          </w:p>
        </w:tc>
        <w:tc>
          <w:tcPr>
            <w:tcW w:w="3079" w:type="dxa"/>
          </w:tcPr>
          <w:p w14:paraId="64B0D6EB">
            <w:pPr>
              <w:jc w:val="center"/>
            </w:pPr>
            <w:r>
              <w:rPr>
                <w:rFonts w:ascii="宋体" w:hAnsi="宋体" w:eastAsia="宋体"/>
                <w:sz w:val="20"/>
              </w:rPr>
              <w:t>USB-TTL 串口模块</w:t>
            </w:r>
          </w:p>
        </w:tc>
        <w:tc>
          <w:tcPr>
            <w:tcW w:w="3079" w:type="dxa"/>
          </w:tcPr>
          <w:p w14:paraId="06E319DF">
            <w:pPr>
              <w:jc w:val="center"/>
            </w:pPr>
            <w:r>
              <w:rPr>
                <w:rFonts w:ascii="宋体" w:hAnsi="宋体" w:eastAsia="宋体"/>
                <w:sz w:val="20"/>
              </w:rPr>
              <w:t>3.3V 电平匹配 STM32, 波特率 115200</w:t>
            </w:r>
          </w:p>
        </w:tc>
      </w:tr>
      <w:tr w14:paraId="60FC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14803ED1">
            <w:pPr>
              <w:jc w:val="center"/>
            </w:pPr>
            <w:r>
              <w:rPr>
                <w:rFonts w:ascii="宋体" w:hAnsi="宋体" w:eastAsia="宋体"/>
                <w:sz w:val="20"/>
              </w:rPr>
              <w:t>测量设备</w:t>
            </w:r>
          </w:p>
        </w:tc>
        <w:tc>
          <w:tcPr>
            <w:tcW w:w="3079" w:type="dxa"/>
          </w:tcPr>
          <w:p w14:paraId="7D7CB37B">
            <w:pPr>
              <w:jc w:val="center"/>
            </w:pPr>
            <w:r>
              <w:rPr>
                <w:rFonts w:ascii="宋体" w:hAnsi="宋体" w:eastAsia="宋体"/>
                <w:sz w:val="20"/>
              </w:rPr>
              <w:t>数字示波器</w:t>
            </w:r>
          </w:p>
        </w:tc>
        <w:tc>
          <w:tcPr>
            <w:tcW w:w="3079" w:type="dxa"/>
          </w:tcPr>
          <w:p w14:paraId="1B8E6048">
            <w:pPr>
              <w:jc w:val="center"/>
            </w:pPr>
            <w:r>
              <w:rPr>
                <w:rFonts w:ascii="宋体" w:hAnsi="宋体" w:eastAsia="宋体"/>
                <w:sz w:val="20"/>
              </w:rPr>
              <w:t>验证输出频率和波形</w:t>
            </w:r>
          </w:p>
        </w:tc>
      </w:tr>
      <w:tr w14:paraId="50077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67E89F02">
            <w:pPr>
              <w:jc w:val="center"/>
            </w:pPr>
            <w:r>
              <w:rPr>
                <w:rFonts w:ascii="宋体" w:hAnsi="宋体" w:eastAsia="宋体"/>
                <w:sz w:val="20"/>
              </w:rPr>
              <w:t>开发环境</w:t>
            </w:r>
          </w:p>
        </w:tc>
        <w:tc>
          <w:tcPr>
            <w:tcW w:w="3079" w:type="dxa"/>
          </w:tcPr>
          <w:p w14:paraId="19B574BB">
            <w:pPr>
              <w:jc w:val="center"/>
            </w:pPr>
            <w:r>
              <w:rPr>
                <w:rFonts w:ascii="宋体" w:hAnsi="宋体" w:eastAsia="宋体"/>
                <w:sz w:val="20"/>
              </w:rPr>
              <w:t>STM32CubeIDE</w:t>
            </w:r>
          </w:p>
        </w:tc>
        <w:tc>
          <w:tcPr>
            <w:tcW w:w="3079" w:type="dxa"/>
          </w:tcPr>
          <w:p w14:paraId="785EC7D9">
            <w:pPr>
              <w:jc w:val="center"/>
            </w:pPr>
            <w:r>
              <w:rPr>
                <w:rFonts w:ascii="宋体" w:hAnsi="宋体" w:eastAsia="宋体"/>
                <w:sz w:val="20"/>
              </w:rPr>
              <w:t>HAL 库生成方便, CubeMX 图形化配置外设</w:t>
            </w:r>
          </w:p>
        </w:tc>
      </w:tr>
    </w:tbl>
    <w:p w14:paraId="6F8415E6"/>
    <w:p w14:paraId="697038C9">
      <w:pPr>
        <w:pStyle w:val="4"/>
      </w:pPr>
      <w:r>
        <w:rPr>
          <w:rFonts w:ascii="黑体" w:hAnsi="黑体" w:eastAsia="黑体"/>
        </w:rPr>
        <w:t>2.3 通信接口设计</w:t>
      </w:r>
    </w:p>
    <w:p w14:paraId="0BB56AAA">
      <w:pPr>
        <w:ind w:firstLine="440"/>
      </w:pPr>
      <w:r>
        <w:rPr>
          <w:rFonts w:ascii="宋体" w:hAnsi="宋体" w:eastAsia="宋体"/>
          <w:b w:val="0"/>
          <w:sz w:val="22"/>
        </w:rPr>
        <w:t>本项目涉及两种通信接口：一是STM32与上位机之间的UART串口通信（用于人机交互），二是STM32与AD9833之间的SPI通信（用于芯片控制）。两者均通过 STM32 的硬件外设实现。UART 配置为 115200/8/N/1 并开启接收中断，SPI 配置为 Mode 2（CPOL=1, CPHA=0）、16-bit 数据帧、MSB 优先、波特率分频 256（约 281 kHz，远低于 AD9833 的40 MHz 上限）。需要特别说明的是，AD9833 要求每发送 16-bit 命令后必须将 FSYNC 信号拉高一次以锁存命令，这与普通 SPI 设备可在片选有效期间连续发送多字节不同，因此本项目放弃硬件 NSS 片选信号，改用 PA4 引脚软件模拟 FSYNC。</w:t>
      </w:r>
    </w:p>
    <w:p w14:paraId="07506EE9">
      <w:pPr>
        <w:pStyle w:val="3"/>
      </w:pPr>
      <w:r>
        <w:rPr>
          <w:rFonts w:ascii="黑体" w:hAnsi="黑体" w:eastAsia="黑体"/>
        </w:rPr>
        <w:t>三、硬件电路设计</w:t>
      </w:r>
    </w:p>
    <w:p w14:paraId="0C66AD03">
      <w:pPr>
        <w:pStyle w:val="4"/>
      </w:pPr>
      <w:r>
        <w:rPr>
          <w:rFonts w:ascii="黑体" w:hAnsi="黑体" w:eastAsia="黑体"/>
        </w:rPr>
        <w:t>3.1 STM32 时钟配置</w:t>
      </w:r>
    </w:p>
    <w:p w14:paraId="4CA7823B">
      <w:pPr>
        <w:ind w:firstLine="440"/>
      </w:pPr>
      <w:r>
        <w:rPr>
          <w:rFonts w:ascii="宋体" w:hAnsi="宋体" w:eastAsia="宋体"/>
          <w:b w:val="0"/>
          <w:sz w:val="22"/>
        </w:rPr>
        <w:t>STM32 外部 8MHz 晶振作为 HSE 时钟源，经 PLL 9 倍频至 72MHz 作为系统时钟（SYSCLK）。APB2 总线（72MHz）承载 SPI1 外设，APB1 总线（36MHz）承载 USART1 外设。该配置是 STM32F103C8T6 的最优性能配置。</w:t>
      </w:r>
    </w:p>
    <w:p w14:paraId="54E7F088">
      <w:pPr>
        <w:pStyle w:val="4"/>
      </w:pPr>
      <w:r>
        <w:rPr>
          <w:rFonts w:ascii="黑体" w:hAnsi="黑体" w:eastAsia="黑体"/>
        </w:rPr>
        <w:t>3.2 AD9833 模块电路分析</w:t>
      </w:r>
    </w:p>
    <w:p w14:paraId="513A09A0">
      <w:pPr>
        <w:ind w:firstLine="440"/>
      </w:pPr>
      <w:r>
        <w:rPr>
          <w:rFonts w:ascii="宋体" w:hAnsi="宋体" w:eastAsia="宋体"/>
          <w:b w:val="0"/>
          <w:sz w:val="22"/>
        </w:rPr>
        <w:t>AD9833 V40 模块采用 AD9833BRMZ（10脚 MSOP 封装）芯片，板载 25MHz 有源晶振提供主时钟（MCLK）。模块引出FSYNC（帧同步，低电平有效）、SCLK（SPI 时钟）、SDATA（SPI 数据输入）三个通信引脚，以及 VCC 和 GND 供电引脚。模块输出引脚 VOUT 直接连接到芯片 DAC 输出端，无后级运放缓冲，输出幅度约为 0.6Vpp。模块支持 2.3V 至5.5V 宽电压供电，本项目中采用 3.3V 与 STM32 统一供电。</w:t>
      </w:r>
    </w:p>
    <w:p w14:paraId="728DB9BB">
      <w:pPr>
        <w:pStyle w:val="4"/>
      </w:pPr>
      <w:r>
        <w:rPr>
          <w:rFonts w:ascii="黑体" w:hAnsi="黑体" w:eastAsia="黑体"/>
        </w:rPr>
        <w:t>3.3 接线方案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1847"/>
        <w:gridCol w:w="1847"/>
        <w:gridCol w:w="1847"/>
        <w:gridCol w:w="1847"/>
      </w:tblGrid>
      <w:tr w14:paraId="2F95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7" w:type="dxa"/>
            <w:shd w:val="clear" w:color="auto" w:fill="D9E2F3"/>
          </w:tcPr>
          <w:p w14:paraId="3E928826">
            <w:pPr>
              <w:jc w:val="center"/>
            </w:pPr>
            <w:r>
              <w:rPr>
                <w:rFonts w:ascii="宋体" w:hAnsi="宋体" w:eastAsia="宋体"/>
                <w:b/>
                <w:sz w:val="20"/>
              </w:rPr>
              <w:t>STM32 引脚</w:t>
            </w:r>
          </w:p>
        </w:tc>
        <w:tc>
          <w:tcPr>
            <w:tcW w:w="1847" w:type="dxa"/>
            <w:shd w:val="clear" w:color="auto" w:fill="D9E2F3"/>
          </w:tcPr>
          <w:p w14:paraId="68803D82">
            <w:pPr>
              <w:jc w:val="center"/>
            </w:pPr>
            <w:r>
              <w:rPr>
                <w:rFonts w:ascii="宋体" w:hAnsi="宋体" w:eastAsia="宋体"/>
                <w:b/>
                <w:sz w:val="20"/>
              </w:rPr>
              <w:t>功能</w:t>
            </w:r>
          </w:p>
        </w:tc>
        <w:tc>
          <w:tcPr>
            <w:tcW w:w="1847" w:type="dxa"/>
            <w:shd w:val="clear" w:color="auto" w:fill="D9E2F3"/>
          </w:tcPr>
          <w:p w14:paraId="69BFE7B9">
            <w:pPr>
              <w:jc w:val="center"/>
            </w:pPr>
            <w:r>
              <w:rPr>
                <w:rFonts w:ascii="宋体" w:hAnsi="宋体" w:eastAsia="宋体"/>
                <w:b/>
                <w:sz w:val="20"/>
              </w:rPr>
              <w:t>连接至</w:t>
            </w:r>
          </w:p>
        </w:tc>
        <w:tc>
          <w:tcPr>
            <w:tcW w:w="1847" w:type="dxa"/>
            <w:shd w:val="clear" w:color="auto" w:fill="D9E2F3"/>
          </w:tcPr>
          <w:p w14:paraId="47298A30">
            <w:pPr>
              <w:jc w:val="center"/>
            </w:pPr>
            <w:r>
              <w:rPr>
                <w:rFonts w:ascii="宋体" w:hAnsi="宋体" w:eastAsia="宋体"/>
                <w:b/>
                <w:sz w:val="20"/>
              </w:rPr>
              <w:t>AD9833 引脚</w:t>
            </w:r>
          </w:p>
        </w:tc>
        <w:tc>
          <w:tcPr>
            <w:tcW w:w="1847" w:type="dxa"/>
            <w:shd w:val="clear" w:color="auto" w:fill="D9E2F3"/>
          </w:tcPr>
          <w:p w14:paraId="34311969">
            <w:pPr>
              <w:jc w:val="center"/>
            </w:pPr>
            <w:r>
              <w:rPr>
                <w:rFonts w:ascii="宋体" w:hAnsi="宋体" w:eastAsia="宋体"/>
                <w:b/>
                <w:sz w:val="20"/>
              </w:rPr>
              <w:t>线色建议</w:t>
            </w:r>
          </w:p>
        </w:tc>
      </w:tr>
      <w:tr w14:paraId="496E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7" w:type="dxa"/>
          </w:tcPr>
          <w:p w14:paraId="63F1BF95">
            <w:pPr>
              <w:jc w:val="center"/>
            </w:pPr>
            <w:r>
              <w:rPr>
                <w:rFonts w:ascii="宋体" w:hAnsi="宋体" w:eastAsia="宋体"/>
                <w:sz w:val="20"/>
              </w:rPr>
              <w:t>PA4</w:t>
            </w:r>
          </w:p>
        </w:tc>
        <w:tc>
          <w:tcPr>
            <w:tcW w:w="1847" w:type="dxa"/>
          </w:tcPr>
          <w:p w14:paraId="263AAA4D">
            <w:pPr>
              <w:jc w:val="center"/>
            </w:pPr>
            <w:r>
              <w:rPr>
                <w:rFonts w:ascii="宋体" w:hAnsi="宋体" w:eastAsia="宋体"/>
                <w:sz w:val="20"/>
              </w:rPr>
              <w:t>GPIO Output (FSYNC)</w:t>
            </w:r>
          </w:p>
        </w:tc>
        <w:tc>
          <w:tcPr>
            <w:tcW w:w="1847" w:type="dxa"/>
          </w:tcPr>
          <w:p w14:paraId="2CCE759C">
            <w:pPr>
              <w:jc w:val="center"/>
            </w:pPr>
            <w:r>
              <w:rPr>
                <w:rFonts w:ascii="宋体" w:hAnsi="宋体" w:eastAsia="宋体"/>
                <w:sz w:val="20"/>
              </w:rPr>
              <w:t>────▶</w:t>
            </w:r>
          </w:p>
        </w:tc>
        <w:tc>
          <w:tcPr>
            <w:tcW w:w="1847" w:type="dxa"/>
          </w:tcPr>
          <w:p w14:paraId="4778FA10">
            <w:pPr>
              <w:jc w:val="center"/>
            </w:pPr>
            <w:r>
              <w:rPr>
                <w:rFonts w:ascii="宋体" w:hAnsi="宋体" w:eastAsia="宋体"/>
                <w:sz w:val="20"/>
              </w:rPr>
              <w:t>FSYNC</w:t>
            </w:r>
          </w:p>
        </w:tc>
        <w:tc>
          <w:tcPr>
            <w:tcW w:w="1847" w:type="dxa"/>
          </w:tcPr>
          <w:p w14:paraId="278527C4">
            <w:pPr>
              <w:jc w:val="center"/>
            </w:pPr>
            <w:r>
              <w:rPr>
                <w:rFonts w:ascii="宋体" w:hAnsi="宋体" w:eastAsia="宋体"/>
                <w:sz w:val="20"/>
              </w:rPr>
              <w:t>黄色</w:t>
            </w:r>
          </w:p>
        </w:tc>
      </w:tr>
      <w:tr w14:paraId="321C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7" w:type="dxa"/>
          </w:tcPr>
          <w:p w14:paraId="79FC10FB">
            <w:pPr>
              <w:jc w:val="center"/>
            </w:pPr>
            <w:r>
              <w:rPr>
                <w:rFonts w:ascii="宋体" w:hAnsi="宋体" w:eastAsia="宋体"/>
                <w:sz w:val="20"/>
              </w:rPr>
              <w:t>PA5</w:t>
            </w:r>
          </w:p>
        </w:tc>
        <w:tc>
          <w:tcPr>
            <w:tcW w:w="1847" w:type="dxa"/>
          </w:tcPr>
          <w:p w14:paraId="78668720">
            <w:pPr>
              <w:jc w:val="center"/>
            </w:pPr>
            <w:r>
              <w:rPr>
                <w:rFonts w:ascii="宋体" w:hAnsi="宋体" w:eastAsia="宋体"/>
                <w:sz w:val="20"/>
              </w:rPr>
              <w:t>SPI1_SCK</w:t>
            </w:r>
          </w:p>
        </w:tc>
        <w:tc>
          <w:tcPr>
            <w:tcW w:w="1847" w:type="dxa"/>
          </w:tcPr>
          <w:p w14:paraId="0C7AFEFA">
            <w:pPr>
              <w:jc w:val="center"/>
            </w:pPr>
            <w:r>
              <w:rPr>
                <w:rFonts w:ascii="宋体" w:hAnsi="宋体" w:eastAsia="宋体"/>
                <w:sz w:val="20"/>
              </w:rPr>
              <w:t>────▶</w:t>
            </w:r>
          </w:p>
        </w:tc>
        <w:tc>
          <w:tcPr>
            <w:tcW w:w="1847" w:type="dxa"/>
          </w:tcPr>
          <w:p w14:paraId="58BF650C">
            <w:pPr>
              <w:jc w:val="center"/>
            </w:pPr>
            <w:r>
              <w:rPr>
                <w:rFonts w:ascii="宋体" w:hAnsi="宋体" w:eastAsia="宋体"/>
                <w:sz w:val="20"/>
              </w:rPr>
              <w:t>SCLK</w:t>
            </w:r>
          </w:p>
        </w:tc>
        <w:tc>
          <w:tcPr>
            <w:tcW w:w="1847" w:type="dxa"/>
          </w:tcPr>
          <w:p w14:paraId="27092056">
            <w:pPr>
              <w:jc w:val="center"/>
            </w:pPr>
            <w:r>
              <w:rPr>
                <w:rFonts w:ascii="宋体" w:hAnsi="宋体" w:eastAsia="宋体"/>
                <w:sz w:val="20"/>
              </w:rPr>
              <w:t>绿色</w:t>
            </w:r>
          </w:p>
        </w:tc>
      </w:tr>
      <w:tr w14:paraId="29B1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7" w:type="dxa"/>
          </w:tcPr>
          <w:p w14:paraId="3DB8CB4A">
            <w:pPr>
              <w:jc w:val="center"/>
            </w:pPr>
            <w:r>
              <w:rPr>
                <w:rFonts w:ascii="宋体" w:hAnsi="宋体" w:eastAsia="宋体"/>
                <w:sz w:val="20"/>
              </w:rPr>
              <w:t>PA7</w:t>
            </w:r>
          </w:p>
        </w:tc>
        <w:tc>
          <w:tcPr>
            <w:tcW w:w="1847" w:type="dxa"/>
          </w:tcPr>
          <w:p w14:paraId="467A13BC">
            <w:pPr>
              <w:jc w:val="center"/>
            </w:pPr>
            <w:r>
              <w:rPr>
                <w:rFonts w:ascii="宋体" w:hAnsi="宋体" w:eastAsia="宋体"/>
                <w:sz w:val="20"/>
              </w:rPr>
              <w:t>SPI1_MOSI</w:t>
            </w:r>
          </w:p>
        </w:tc>
        <w:tc>
          <w:tcPr>
            <w:tcW w:w="1847" w:type="dxa"/>
          </w:tcPr>
          <w:p w14:paraId="233CB4A9">
            <w:pPr>
              <w:jc w:val="center"/>
            </w:pPr>
            <w:r>
              <w:rPr>
                <w:rFonts w:ascii="宋体" w:hAnsi="宋体" w:eastAsia="宋体"/>
                <w:sz w:val="20"/>
              </w:rPr>
              <w:t>────▶</w:t>
            </w:r>
          </w:p>
        </w:tc>
        <w:tc>
          <w:tcPr>
            <w:tcW w:w="1847" w:type="dxa"/>
          </w:tcPr>
          <w:p w14:paraId="7129755A">
            <w:pPr>
              <w:jc w:val="center"/>
            </w:pPr>
            <w:r>
              <w:rPr>
                <w:rFonts w:ascii="宋体" w:hAnsi="宋体" w:eastAsia="宋体"/>
                <w:sz w:val="20"/>
              </w:rPr>
              <w:t>SDATA</w:t>
            </w:r>
          </w:p>
        </w:tc>
        <w:tc>
          <w:tcPr>
            <w:tcW w:w="1847" w:type="dxa"/>
          </w:tcPr>
          <w:p w14:paraId="630C001A">
            <w:pPr>
              <w:jc w:val="center"/>
            </w:pPr>
            <w:r>
              <w:rPr>
                <w:rFonts w:ascii="宋体" w:hAnsi="宋体" w:eastAsia="宋体"/>
                <w:sz w:val="20"/>
              </w:rPr>
              <w:t>蓝色</w:t>
            </w:r>
          </w:p>
        </w:tc>
      </w:tr>
      <w:tr w14:paraId="55CE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7" w:type="dxa"/>
          </w:tcPr>
          <w:p w14:paraId="0F14D539">
            <w:pPr>
              <w:jc w:val="center"/>
            </w:pPr>
            <w:r>
              <w:rPr>
                <w:rFonts w:ascii="宋体" w:hAnsi="宋体" w:eastAsia="宋体"/>
                <w:sz w:val="20"/>
              </w:rPr>
              <w:t>3.3V</w:t>
            </w:r>
          </w:p>
        </w:tc>
        <w:tc>
          <w:tcPr>
            <w:tcW w:w="1847" w:type="dxa"/>
          </w:tcPr>
          <w:p w14:paraId="12DC1736">
            <w:pPr>
              <w:jc w:val="center"/>
            </w:pPr>
            <w:r>
              <w:rPr>
                <w:rFonts w:ascii="宋体" w:hAnsi="宋体" w:eastAsia="宋体"/>
                <w:sz w:val="20"/>
              </w:rPr>
              <w:t>电源正</w:t>
            </w:r>
          </w:p>
        </w:tc>
        <w:tc>
          <w:tcPr>
            <w:tcW w:w="1847" w:type="dxa"/>
          </w:tcPr>
          <w:p w14:paraId="0524B947">
            <w:pPr>
              <w:jc w:val="center"/>
            </w:pPr>
            <w:r>
              <w:rPr>
                <w:rFonts w:ascii="宋体" w:hAnsi="宋体" w:eastAsia="宋体"/>
                <w:sz w:val="20"/>
              </w:rPr>
              <w:t>────▶</w:t>
            </w:r>
          </w:p>
        </w:tc>
        <w:tc>
          <w:tcPr>
            <w:tcW w:w="1847" w:type="dxa"/>
          </w:tcPr>
          <w:p w14:paraId="538639D1">
            <w:pPr>
              <w:jc w:val="center"/>
            </w:pPr>
            <w:r>
              <w:rPr>
                <w:rFonts w:ascii="宋体" w:hAnsi="宋体" w:eastAsia="宋体"/>
                <w:sz w:val="20"/>
              </w:rPr>
              <w:t>VCC</w:t>
            </w:r>
          </w:p>
        </w:tc>
        <w:tc>
          <w:tcPr>
            <w:tcW w:w="1847" w:type="dxa"/>
          </w:tcPr>
          <w:p w14:paraId="74726F47">
            <w:pPr>
              <w:jc w:val="center"/>
            </w:pPr>
            <w:r>
              <w:rPr>
                <w:rFonts w:ascii="宋体" w:hAnsi="宋体" w:eastAsia="宋体"/>
                <w:sz w:val="20"/>
              </w:rPr>
              <w:t>红色</w:t>
            </w:r>
          </w:p>
        </w:tc>
      </w:tr>
      <w:tr w14:paraId="1E50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7" w:type="dxa"/>
          </w:tcPr>
          <w:p w14:paraId="04D6FF8E">
            <w:pPr>
              <w:jc w:val="center"/>
            </w:pPr>
            <w:r>
              <w:rPr>
                <w:rFonts w:ascii="宋体" w:hAnsi="宋体" w:eastAsia="宋体"/>
                <w:sz w:val="20"/>
              </w:rPr>
              <w:t>GND</w:t>
            </w:r>
          </w:p>
        </w:tc>
        <w:tc>
          <w:tcPr>
            <w:tcW w:w="1847" w:type="dxa"/>
          </w:tcPr>
          <w:p w14:paraId="24135B79">
            <w:pPr>
              <w:jc w:val="center"/>
            </w:pPr>
            <w:r>
              <w:rPr>
                <w:rFonts w:ascii="宋体" w:hAnsi="宋体" w:eastAsia="宋体"/>
                <w:sz w:val="20"/>
              </w:rPr>
              <w:t>电源地</w:t>
            </w:r>
          </w:p>
        </w:tc>
        <w:tc>
          <w:tcPr>
            <w:tcW w:w="1847" w:type="dxa"/>
          </w:tcPr>
          <w:p w14:paraId="3701B33C">
            <w:pPr>
              <w:jc w:val="center"/>
            </w:pPr>
            <w:r>
              <w:rPr>
                <w:rFonts w:ascii="宋体" w:hAnsi="宋体" w:eastAsia="宋体"/>
                <w:sz w:val="20"/>
              </w:rPr>
              <w:t>────▶</w:t>
            </w:r>
          </w:p>
        </w:tc>
        <w:tc>
          <w:tcPr>
            <w:tcW w:w="1847" w:type="dxa"/>
          </w:tcPr>
          <w:p w14:paraId="2D6EE4C1">
            <w:pPr>
              <w:jc w:val="center"/>
            </w:pPr>
            <w:r>
              <w:rPr>
                <w:rFonts w:ascii="宋体" w:hAnsi="宋体" w:eastAsia="宋体"/>
                <w:sz w:val="20"/>
              </w:rPr>
              <w:t>GND</w:t>
            </w:r>
          </w:p>
        </w:tc>
        <w:tc>
          <w:tcPr>
            <w:tcW w:w="1847" w:type="dxa"/>
          </w:tcPr>
          <w:p w14:paraId="3B3813A8">
            <w:pPr>
              <w:jc w:val="center"/>
            </w:pPr>
            <w:r>
              <w:rPr>
                <w:rFonts w:ascii="宋体" w:hAnsi="宋体" w:eastAsia="宋体"/>
                <w:sz w:val="20"/>
              </w:rPr>
              <w:t>黑色</w:t>
            </w:r>
          </w:p>
        </w:tc>
      </w:tr>
    </w:tbl>
    <w:p w14:paraId="14B3C6D1"/>
    <w:p w14:paraId="020903E2">
      <w:pPr>
        <w:ind w:firstLine="440"/>
      </w:pPr>
      <w:r>
        <w:rPr>
          <w:rFonts w:ascii="宋体" w:hAnsi="宋体" w:eastAsia="宋体"/>
          <w:b w:val="0"/>
          <w:sz w:val="22"/>
        </w:rPr>
        <w:t>整个项目仅需 5 根杜邦线即可完成硬件连接（不包含调试用的串口线），体现了"最小化布线、最大化可靠性"的硬件设计原则。</w:t>
      </w:r>
    </w:p>
    <w:p w14:paraId="7B7BF0A1">
      <w:pPr>
        <w:pStyle w:val="3"/>
      </w:pPr>
      <w:r>
        <w:rPr>
          <w:rFonts w:ascii="黑体" w:hAnsi="黑体" w:eastAsia="黑体"/>
        </w:rPr>
        <w:t>四、软件设计</w:t>
      </w:r>
    </w:p>
    <w:p w14:paraId="3DEBE9B8">
      <w:pPr>
        <w:pStyle w:val="4"/>
      </w:pPr>
      <w:r>
        <w:rPr>
          <w:rFonts w:ascii="黑体" w:hAnsi="黑体" w:eastAsia="黑体"/>
        </w:rPr>
        <w:t>4.1 软件架构总览</w:t>
      </w:r>
    </w:p>
    <w:p w14:paraId="6A726F33">
      <w:pPr>
        <w:ind w:firstLine="440"/>
      </w:pPr>
      <w:r>
        <w:rPr>
          <w:rFonts w:ascii="宋体" w:hAnsi="宋体" w:eastAsia="宋体"/>
          <w:b w:val="0"/>
          <w:sz w:val="22"/>
        </w:rPr>
        <w:t>软件包括三层：底层驱动层（ad9833.h + ad9833.c），负责 SPI 寄存器级操作和位运算；中间层（AD9833_WriteRegister / SetFreq / SetWave 函数），将数据手册中的操作流程转化为可调用的函数接口；应用层（main.c），通过 UART 中断接收用户命令并调用驱动函数。</w:t>
      </w:r>
    </w:p>
    <w:p w14:paraId="7AACE758">
      <w:pPr>
        <w:pStyle w:val="4"/>
      </w:pPr>
      <w:r>
        <w:rPr>
          <w:rFonts w:ascii="黑体" w:hAnsi="黑体" w:eastAsia="黑体"/>
        </w:rPr>
        <w:t>4.2 寄存器宏定义 — "积木式"设计</w:t>
      </w:r>
    </w:p>
    <w:p w14:paraId="5D7289D2">
      <w:pPr>
        <w:ind w:firstLine="440"/>
      </w:pPr>
      <w:r>
        <w:rPr>
          <w:rFonts w:ascii="宋体" w:hAnsi="宋体" w:eastAsia="宋体"/>
          <w:b w:val="0"/>
          <w:sz w:val="22"/>
        </w:rPr>
        <w:t>本项目独创性地采用"积木式"宏定义策略，将 AD9833 控制寄存器（16-bit）的每一位定义为独立的宏常量。这种设计的优点在于：每一个宏定义都能在数据手册中找到明确对应的 bit 位（如 BIT_B28 对应 D13、BIT_MODE 对应 D1），保证代码与手册之间的可追溯性；波形组合通过按位或（|）操作实现，直观且不易出错。</w:t>
      </w:r>
    </w:p>
    <w:p w14:paraId="498C10E4">
      <w:pPr>
        <w:spacing w:before="80" w:after="80"/>
        <w:ind w:left="567"/>
      </w:pPr>
      <w:r>
        <w:rPr>
          <w:rFonts w:ascii="Consolas" w:hAnsi="Consolas" w:eastAsia="宋体"/>
          <w:sz w:val="18"/>
        </w:rPr>
        <w:t>/* ── 第一组: 命令类型 (D15-D14) ── */</w:t>
      </w:r>
      <w:r>
        <w:rPr>
          <w:rFonts w:ascii="Consolas" w:hAnsi="Consolas" w:eastAsia="宋体"/>
          <w:sz w:val="18"/>
        </w:rPr>
        <w:br w:type="textWrapping"/>
      </w:r>
      <w:r>
        <w:rPr>
          <w:rFonts w:ascii="Consolas" w:hAnsi="Consolas" w:eastAsia="宋体"/>
          <w:sz w:val="18"/>
        </w:rPr>
        <w:t>#define CMD_WRITE_CTRL   0x0000  // 00 = 写控制寄存器</w:t>
      </w:r>
      <w:r>
        <w:rPr>
          <w:rFonts w:ascii="Consolas" w:hAnsi="Consolas" w:eastAsia="宋体"/>
          <w:sz w:val="18"/>
        </w:rPr>
        <w:br w:type="textWrapping"/>
      </w:r>
      <w:r>
        <w:rPr>
          <w:rFonts w:ascii="Consolas" w:hAnsi="Consolas" w:eastAsia="宋体"/>
          <w:sz w:val="18"/>
        </w:rPr>
        <w:t>#define CMD_WRITE_FREQ0  0x4000  // 01 = 写频率寄存器0</w:t>
      </w:r>
      <w:r>
        <w:rPr>
          <w:rFonts w:ascii="Consolas" w:hAnsi="Consolas" w:eastAsia="宋体"/>
          <w:sz w:val="18"/>
        </w:rPr>
        <w:br w:type="textWrapping"/>
      </w:r>
      <w:r>
        <w:rPr>
          <w:rFonts w:ascii="Consolas" w:hAnsi="Consolas" w:eastAsia="宋体"/>
          <w:sz w:val="18"/>
        </w:rPr>
        <w:t>#define CMD_WRITE_FREQ1  0x8000  // 10 = 写频率寄存器1</w:t>
      </w:r>
      <w:r>
        <w:rPr>
          <w:rFonts w:ascii="Consolas" w:hAnsi="Consolas" w:eastAsia="宋体"/>
          <w:sz w:val="18"/>
        </w:rPr>
        <w:br w:type="textWrapping"/>
      </w:r>
      <w:r>
        <w:rPr>
          <w:rFonts w:ascii="Consolas" w:hAnsi="Consolas" w:eastAsia="宋体"/>
          <w:sz w:val="18"/>
        </w:rPr>
        <w:t>#define CMD_WRITE_PHASE0 0xC000  // 11 = 写相位寄存器0</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 ── 第二组: 控制寄存器各位 (D13-D0) ── */</w:t>
      </w:r>
      <w:r>
        <w:rPr>
          <w:rFonts w:ascii="Consolas" w:hAnsi="Consolas" w:eastAsia="宋体"/>
          <w:sz w:val="18"/>
        </w:rPr>
        <w:br w:type="textWrapping"/>
      </w:r>
      <w:r>
        <w:rPr>
          <w:rFonts w:ascii="Consolas" w:hAnsi="Consolas" w:eastAsia="宋体"/>
          <w:sz w:val="18"/>
        </w:rPr>
        <w:t>#define BIT_B28      ((uint16_t)1 &lt;&lt; 13)  // 连续 28-bit 写频率</w:t>
      </w:r>
      <w:r>
        <w:rPr>
          <w:rFonts w:ascii="Consolas" w:hAnsi="Consolas" w:eastAsia="宋体"/>
          <w:sz w:val="18"/>
        </w:rPr>
        <w:br w:type="textWrapping"/>
      </w:r>
      <w:r>
        <w:rPr>
          <w:rFonts w:ascii="Consolas" w:hAnsi="Consolas" w:eastAsia="宋体"/>
          <w:sz w:val="18"/>
        </w:rPr>
        <w:t>#define BIT_RESET    ((uint16_t)1 &lt;&lt; 8)   // 复位（配参数时要置 1）</w:t>
      </w:r>
      <w:r>
        <w:rPr>
          <w:rFonts w:ascii="Consolas" w:hAnsi="Consolas" w:eastAsia="宋体"/>
          <w:sz w:val="18"/>
        </w:rPr>
        <w:br w:type="textWrapping"/>
      </w:r>
      <w:r>
        <w:rPr>
          <w:rFonts w:ascii="Consolas" w:hAnsi="Consolas" w:eastAsia="宋体"/>
          <w:sz w:val="18"/>
        </w:rPr>
        <w:t>#define BIT_OPBITEN  ((uint16_t)1 &lt;&lt; 5)   // 方波输出使能</w:t>
      </w:r>
      <w:r>
        <w:rPr>
          <w:rFonts w:ascii="Consolas" w:hAnsi="Consolas" w:eastAsia="宋体"/>
          <w:sz w:val="18"/>
        </w:rPr>
        <w:br w:type="textWrapping"/>
      </w:r>
      <w:r>
        <w:rPr>
          <w:rFonts w:ascii="Consolas" w:hAnsi="Consolas" w:eastAsia="宋体"/>
          <w:sz w:val="18"/>
        </w:rPr>
        <w:t>#define BIT_DIV2     ((uint16_t)1 &lt;&lt; 3)   // 方波二分频</w:t>
      </w:r>
      <w:r>
        <w:rPr>
          <w:rFonts w:ascii="Consolas" w:hAnsi="Consolas" w:eastAsia="宋体"/>
          <w:sz w:val="18"/>
        </w:rPr>
        <w:br w:type="textWrapping"/>
      </w:r>
      <w:r>
        <w:rPr>
          <w:rFonts w:ascii="Consolas" w:hAnsi="Consolas" w:eastAsia="宋体"/>
          <w:sz w:val="18"/>
        </w:rPr>
        <w:t>#define BIT_MODE     ((uint16_t)1 &lt;&lt; 1)   // 0=正弦, 1=三角</w:t>
      </w:r>
      <w:r>
        <w:rPr>
          <w:rFonts w:ascii="Consolas" w:hAnsi="Consolas" w:eastAsia="宋体"/>
          <w:sz w:val="18"/>
        </w:rPr>
        <w:br w:type="textWrapping"/>
      </w:r>
      <w:r>
        <w:rPr>
          <w:rFonts w:ascii="Consolas" w:hAnsi="Consolas" w:eastAsia="宋体"/>
          <w:sz w:val="18"/>
        </w:rPr>
        <w:br w:type="textWrapping"/>
      </w:r>
      <w:r>
        <w:rPr>
          <w:rFonts w:ascii="Consolas" w:hAnsi="Consolas" w:eastAsia="宋体"/>
          <w:sz w:val="18"/>
        </w:rPr>
        <w:t>/* ── 第三组: 波形组合 ── */</w:t>
      </w:r>
      <w:r>
        <w:rPr>
          <w:rFonts w:ascii="Consolas" w:hAnsi="Consolas" w:eastAsia="宋体"/>
          <w:sz w:val="18"/>
        </w:rPr>
        <w:br w:type="textWrapping"/>
      </w:r>
      <w:r>
        <w:rPr>
          <w:rFonts w:ascii="Consolas" w:hAnsi="Consolas" w:eastAsia="宋体"/>
          <w:sz w:val="18"/>
        </w:rPr>
        <w:t>#define CTRL_SINE     (BIT_RESET | BIT_B28)</w:t>
      </w:r>
      <w:r>
        <w:rPr>
          <w:rFonts w:ascii="Consolas" w:hAnsi="Consolas" w:eastAsia="宋体"/>
          <w:sz w:val="18"/>
        </w:rPr>
        <w:br w:type="textWrapping"/>
      </w:r>
      <w:r>
        <w:rPr>
          <w:rFonts w:ascii="Consolas" w:hAnsi="Consolas" w:eastAsia="宋体"/>
          <w:sz w:val="18"/>
        </w:rPr>
        <w:t>#define CTRL_TRIANGLE (BIT_RESET | BIT_B28 | BIT_MODE)</w:t>
      </w:r>
      <w:r>
        <w:rPr>
          <w:rFonts w:ascii="Consolas" w:hAnsi="Consolas" w:eastAsia="宋体"/>
          <w:sz w:val="18"/>
        </w:rPr>
        <w:br w:type="textWrapping"/>
      </w:r>
      <w:r>
        <w:rPr>
          <w:rFonts w:ascii="Consolas" w:hAnsi="Consolas" w:eastAsia="宋体"/>
          <w:sz w:val="18"/>
        </w:rPr>
        <w:t>#define CTRL_SQUARE   (BIT_RESET | BIT_B28 | BIT_OPBITEN | BIT_DIV2)</w:t>
      </w:r>
    </w:p>
    <w:p w14:paraId="22E9A2AD">
      <w:pPr>
        <w:pStyle w:val="4"/>
      </w:pPr>
      <w:r>
        <w:rPr>
          <w:rFonts w:ascii="黑体" w:hAnsi="黑体" w:eastAsia="黑体"/>
        </w:rPr>
        <w:t>4.3 核心驱动函数</w:t>
      </w:r>
    </w:p>
    <w:p w14:paraId="452DBF81">
      <w:pPr>
        <w:ind w:firstLine="440"/>
      </w:pPr>
      <w:r>
        <w:rPr>
          <w:rFonts w:ascii="宋体" w:hAnsi="宋体" w:eastAsia="宋体"/>
          <w:b w:val="0"/>
          <w:sz w:val="22"/>
        </w:rPr>
        <w:t>驱动层提供三个核心函数，分别对应初始化、设频率、设波形三种操作：</w:t>
      </w:r>
    </w:p>
    <w:p w14:paraId="55C16A9F">
      <w:pPr>
        <w:ind w:firstLine="440"/>
      </w:pPr>
      <w:r>
        <w:rPr>
          <w:rFonts w:ascii="宋体" w:hAnsi="宋体" w:eastAsia="宋体"/>
          <w:b w:val="0"/>
          <w:sz w:val="22"/>
        </w:rPr>
        <w:t>（1）AD9833_WriteRegister(uint16_t data)：最底层的 SPI 写操作。按照 AD9833 数据手册第 7 页的时序图，先拉低 FSYNC → 调用 HAL_SPI_Transmit 发送 16-bit 数据 → 拉高 FSYNC 锁存命令。该函数是所有上层操作的"基石"。</w:t>
      </w:r>
    </w:p>
    <w:p w14:paraId="5552CE50">
      <w:pPr>
        <w:ind w:firstLine="440"/>
      </w:pPr>
      <w:r>
        <w:rPr>
          <w:rFonts w:ascii="宋体" w:hAnsi="宋体" w:eastAsia="宋体"/>
          <w:b w:val="0"/>
          <w:sz w:val="22"/>
        </w:rPr>
        <w:t>（2）AD9833_SetFreq(float freq_hz)：将目标频率值代入数据手册第 8 页给出的公式——频率字 = f_out × 2²⁸ / 25MHz，算出 28-bit 频率字，再拆分为低 14 位和高 14 位，通过连续两次 FREQ0 写命令发送。B28=1 模式下，AD9833 自动拼接两次写入的数据为完整的 28-bit 频率字。</w:t>
      </w:r>
    </w:p>
    <w:p w14:paraId="6798DD99">
      <w:pPr>
        <w:ind w:firstLine="440"/>
      </w:pPr>
      <w:r>
        <w:rPr>
          <w:rFonts w:ascii="宋体" w:hAnsi="宋体" w:eastAsia="宋体"/>
          <w:b w:val="0"/>
          <w:sz w:val="22"/>
        </w:rPr>
        <w:t>（3）AD9833_SetWave(uint16_t wave_ctrl)：切换输出波形。先将新波形控制字（含 RESET=1）写入芯片，使 AD9833 在切换过程中保持复位状态；再写入"wave_ctrl &amp; ~BIT_RESET"（位掩码清零 RESET 位，其余位保留）释放复位。这一"先复位→改配置→释放复位"的流程源于数据手册第 9 页的操作建议，能有效避免波形切换瞬间产生毛刺。</w:t>
      </w:r>
    </w:p>
    <w:p w14:paraId="6E8FC12B">
      <w:pPr>
        <w:pStyle w:val="4"/>
      </w:pPr>
      <w:r>
        <w:rPr>
          <w:rFonts w:ascii="黑体" w:hAnsi="黑体" w:eastAsia="黑体"/>
        </w:rPr>
        <w:t>4.4 串口命令交互</w:t>
      </w:r>
    </w:p>
    <w:p w14:paraId="79FF4CD8">
      <w:pPr>
        <w:ind w:firstLine="440"/>
      </w:pPr>
      <w:r>
        <w:rPr>
          <w:rFonts w:ascii="宋体" w:hAnsi="宋体" w:eastAsia="宋体"/>
          <w:b w:val="0"/>
          <w:sz w:val="22"/>
        </w:rPr>
        <w:t>为实现灵活的人机交互，应用层实现了基于 UART 中断接收的串口命令解析功能。系统支持的命令包括：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537EA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shd w:val="clear" w:color="auto" w:fill="D9E2F3"/>
          </w:tcPr>
          <w:p w14:paraId="4AEA4083">
            <w:pPr>
              <w:jc w:val="center"/>
            </w:pPr>
            <w:r>
              <w:rPr>
                <w:rFonts w:ascii="宋体" w:hAnsi="宋体" w:eastAsia="宋体"/>
                <w:b/>
                <w:sz w:val="20"/>
              </w:rPr>
              <w:t>命令</w:t>
            </w:r>
          </w:p>
        </w:tc>
        <w:tc>
          <w:tcPr>
            <w:tcW w:w="3079" w:type="dxa"/>
            <w:shd w:val="clear" w:color="auto" w:fill="D9E2F3"/>
          </w:tcPr>
          <w:p w14:paraId="656FD605">
            <w:pPr>
              <w:jc w:val="center"/>
            </w:pPr>
            <w:r>
              <w:rPr>
                <w:rFonts w:ascii="宋体" w:hAnsi="宋体" w:eastAsia="宋体"/>
                <w:b/>
                <w:sz w:val="20"/>
              </w:rPr>
              <w:t>格式示例</w:t>
            </w:r>
          </w:p>
        </w:tc>
        <w:tc>
          <w:tcPr>
            <w:tcW w:w="3079" w:type="dxa"/>
            <w:shd w:val="clear" w:color="auto" w:fill="D9E2F3"/>
          </w:tcPr>
          <w:p w14:paraId="13530D42">
            <w:pPr>
              <w:jc w:val="center"/>
            </w:pPr>
            <w:r>
              <w:rPr>
                <w:rFonts w:ascii="宋体" w:hAnsi="宋体" w:eastAsia="宋体"/>
                <w:b/>
                <w:sz w:val="20"/>
              </w:rPr>
              <w:t>功能说明</w:t>
            </w:r>
          </w:p>
        </w:tc>
      </w:tr>
      <w:tr w14:paraId="5F08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2C02AF00">
            <w:pPr>
              <w:jc w:val="center"/>
            </w:pPr>
            <w:r>
              <w:rPr>
                <w:rFonts w:ascii="宋体" w:hAnsi="宋体" w:eastAsia="宋体"/>
                <w:sz w:val="20"/>
              </w:rPr>
              <w:t>freq</w:t>
            </w:r>
          </w:p>
        </w:tc>
        <w:tc>
          <w:tcPr>
            <w:tcW w:w="3079" w:type="dxa"/>
          </w:tcPr>
          <w:p w14:paraId="6ABEB684">
            <w:pPr>
              <w:jc w:val="center"/>
            </w:pPr>
            <w:r>
              <w:rPr>
                <w:rFonts w:ascii="宋体" w:hAnsi="宋体" w:eastAsia="宋体"/>
                <w:sz w:val="20"/>
              </w:rPr>
              <w:t>freq 1000</w:t>
            </w:r>
          </w:p>
        </w:tc>
        <w:tc>
          <w:tcPr>
            <w:tcW w:w="3079" w:type="dxa"/>
          </w:tcPr>
          <w:p w14:paraId="05A48D4E">
            <w:pPr>
              <w:jc w:val="center"/>
            </w:pPr>
            <w:r>
              <w:rPr>
                <w:rFonts w:ascii="宋体" w:hAnsi="宋体" w:eastAsia="宋体"/>
                <w:sz w:val="20"/>
              </w:rPr>
              <w:t>设置输出频率为 1000 Hz</w:t>
            </w:r>
          </w:p>
        </w:tc>
      </w:tr>
      <w:tr w14:paraId="3664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11AE72BB">
            <w:pPr>
              <w:jc w:val="center"/>
            </w:pPr>
            <w:r>
              <w:rPr>
                <w:rFonts w:ascii="宋体" w:hAnsi="宋体" w:eastAsia="宋体"/>
                <w:sz w:val="20"/>
              </w:rPr>
              <w:t>wave</w:t>
            </w:r>
          </w:p>
        </w:tc>
        <w:tc>
          <w:tcPr>
            <w:tcW w:w="3079" w:type="dxa"/>
          </w:tcPr>
          <w:p w14:paraId="3A972E15">
            <w:pPr>
              <w:jc w:val="center"/>
            </w:pPr>
            <w:r>
              <w:rPr>
                <w:rFonts w:ascii="宋体" w:hAnsi="宋体" w:eastAsia="宋体"/>
                <w:sz w:val="20"/>
              </w:rPr>
              <w:t>wave 0 / wave 1 / wave 2</w:t>
            </w:r>
          </w:p>
        </w:tc>
        <w:tc>
          <w:tcPr>
            <w:tcW w:w="3079" w:type="dxa"/>
          </w:tcPr>
          <w:p w14:paraId="2F1191A4">
            <w:pPr>
              <w:jc w:val="center"/>
            </w:pPr>
            <w:r>
              <w:rPr>
                <w:rFonts w:ascii="宋体" w:hAnsi="宋体" w:eastAsia="宋体"/>
                <w:sz w:val="20"/>
              </w:rPr>
              <w:t>切换波形：0=正弦, 1=三角, 2=方波</w:t>
            </w:r>
          </w:p>
        </w:tc>
      </w:tr>
      <w:tr w14:paraId="3448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4C8452D4">
            <w:pPr>
              <w:jc w:val="center"/>
            </w:pPr>
            <w:r>
              <w:rPr>
                <w:rFonts w:ascii="宋体" w:hAnsi="宋体" w:eastAsia="宋体"/>
                <w:sz w:val="20"/>
              </w:rPr>
              <w:t>sweep</w:t>
            </w:r>
          </w:p>
        </w:tc>
        <w:tc>
          <w:tcPr>
            <w:tcW w:w="3079" w:type="dxa"/>
          </w:tcPr>
          <w:p w14:paraId="1EDB5383">
            <w:pPr>
              <w:jc w:val="center"/>
            </w:pPr>
            <w:r>
              <w:rPr>
                <w:rFonts w:ascii="宋体" w:hAnsi="宋体" w:eastAsia="宋体"/>
                <w:sz w:val="20"/>
              </w:rPr>
              <w:t>sweep 100 10000 100 50</w:t>
            </w:r>
          </w:p>
        </w:tc>
        <w:tc>
          <w:tcPr>
            <w:tcW w:w="3079" w:type="dxa"/>
          </w:tcPr>
          <w:p w14:paraId="1925D80E">
            <w:pPr>
              <w:jc w:val="center"/>
            </w:pPr>
            <w:r>
              <w:rPr>
                <w:rFonts w:ascii="宋体" w:hAnsi="宋体" w:eastAsia="宋体"/>
                <w:sz w:val="20"/>
              </w:rPr>
              <w:t>扫频：100Hz→10kHz, 步进100Hz, 每步50ms</w:t>
            </w:r>
          </w:p>
        </w:tc>
      </w:tr>
      <w:tr w14:paraId="5D31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3D6D0383">
            <w:pPr>
              <w:jc w:val="center"/>
            </w:pPr>
            <w:r>
              <w:rPr>
                <w:rFonts w:ascii="宋体" w:hAnsi="宋体" w:eastAsia="宋体"/>
                <w:sz w:val="20"/>
              </w:rPr>
              <w:t>status</w:t>
            </w:r>
          </w:p>
        </w:tc>
        <w:tc>
          <w:tcPr>
            <w:tcW w:w="3079" w:type="dxa"/>
          </w:tcPr>
          <w:p w14:paraId="1F0A4FD3">
            <w:pPr>
              <w:jc w:val="center"/>
            </w:pPr>
            <w:r>
              <w:rPr>
                <w:rFonts w:ascii="宋体" w:hAnsi="宋体" w:eastAsia="宋体"/>
                <w:sz w:val="20"/>
              </w:rPr>
              <w:t>status</w:t>
            </w:r>
          </w:p>
        </w:tc>
        <w:tc>
          <w:tcPr>
            <w:tcW w:w="3079" w:type="dxa"/>
          </w:tcPr>
          <w:p w14:paraId="3774F3EB">
            <w:pPr>
              <w:jc w:val="center"/>
            </w:pPr>
            <w:r>
              <w:rPr>
                <w:rFonts w:ascii="宋体" w:hAnsi="宋体" w:eastAsia="宋体"/>
                <w:sz w:val="20"/>
              </w:rPr>
              <w:t>查询当前频率和波形状态</w:t>
            </w:r>
          </w:p>
        </w:tc>
      </w:tr>
      <w:tr w14:paraId="5CF8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16E7E39C">
            <w:pPr>
              <w:jc w:val="center"/>
            </w:pPr>
            <w:r>
              <w:rPr>
                <w:rFonts w:ascii="宋体" w:hAnsi="宋体" w:eastAsia="宋体"/>
                <w:sz w:val="20"/>
              </w:rPr>
              <w:t>help</w:t>
            </w:r>
          </w:p>
        </w:tc>
        <w:tc>
          <w:tcPr>
            <w:tcW w:w="3079" w:type="dxa"/>
          </w:tcPr>
          <w:p w14:paraId="4E2ACE71">
            <w:pPr>
              <w:jc w:val="center"/>
            </w:pPr>
            <w:r>
              <w:rPr>
                <w:rFonts w:ascii="宋体" w:hAnsi="宋体" w:eastAsia="宋体"/>
                <w:sz w:val="20"/>
              </w:rPr>
              <w:t>help</w:t>
            </w:r>
          </w:p>
        </w:tc>
        <w:tc>
          <w:tcPr>
            <w:tcW w:w="3079" w:type="dxa"/>
          </w:tcPr>
          <w:p w14:paraId="011F2378">
            <w:pPr>
              <w:jc w:val="center"/>
            </w:pPr>
            <w:r>
              <w:rPr>
                <w:rFonts w:ascii="宋体" w:hAnsi="宋体" w:eastAsia="宋体"/>
                <w:sz w:val="20"/>
              </w:rPr>
              <w:t>显示所有可用命令</w:t>
            </w:r>
          </w:p>
        </w:tc>
      </w:tr>
    </w:tbl>
    <w:p w14:paraId="440D7203"/>
    <w:p w14:paraId="3D0D6C27">
      <w:pPr>
        <w:ind w:firstLine="440"/>
      </w:pPr>
      <w:r>
        <w:rPr>
          <w:rFonts w:ascii="宋体" w:hAnsi="宋体" w:eastAsia="宋体"/>
          <w:b w:val="0"/>
          <w:sz w:val="22"/>
        </w:rPr>
        <w:t>命令接收采用中断模式而非轮询模式：USART1 每收到一个字符便触发中断，进入 HAL_UART_RxCpltCallback() 回调函数将字符存入环形缓冲区，检测到回车换行符（\r\n）后置位 rx_ready 标志。主循环检测到此标志后调用Cmd_Process() 进行命令解析与执行。这种设计避免了主循环中的忙等待，CPU 在无命令时几乎处于空闲状态。</w:t>
      </w:r>
    </w:p>
    <w:p w14:paraId="29C4EE2D">
      <w:pPr>
        <w:pStyle w:val="3"/>
      </w:pPr>
      <w:r>
        <w:rPr>
          <w:rFonts w:ascii="黑体" w:hAnsi="黑体" w:eastAsia="黑体"/>
        </w:rPr>
        <w:t>五、调试过程与关键问题解决</w:t>
      </w:r>
    </w:p>
    <w:p w14:paraId="12037108">
      <w:pPr>
        <w:pStyle w:val="4"/>
      </w:pPr>
      <w:r>
        <w:rPr>
          <w:rFonts w:ascii="黑体" w:hAnsi="黑体" w:eastAsia="黑体"/>
        </w:rPr>
        <w:t>5.1 测试方案</w:t>
      </w:r>
    </w:p>
    <w:p w14:paraId="238155E7">
      <w:pPr>
        <w:ind w:firstLine="440"/>
      </w:pPr>
      <w:r>
        <w:rPr>
          <w:rFonts w:ascii="宋体" w:hAnsi="宋体" w:eastAsia="宋体"/>
          <w:b w:val="0"/>
          <w:sz w:val="22"/>
        </w:rPr>
        <w:t>测试分为三个阶段：基本功能测试（验证三种波形输出是否正常）、频率精度测试（用示波器测量不同设定频率下的实际输出频率）、串口命令测试（验证所有命令的响应正确性）。测试工具包括数字示波器（测波形/频率）、逻辑分析仪（验证 SPI 时序）和串口调试助手（发送命令）。</w:t>
      </w:r>
    </w:p>
    <w:p w14:paraId="63180F0D">
      <w:pPr>
        <w:pStyle w:val="4"/>
      </w:pPr>
      <w:r>
        <w:rPr>
          <w:rFonts w:ascii="黑体" w:hAnsi="黑体" w:eastAsia="黑体"/>
        </w:rPr>
        <w:t>5.2 关键问题一：SPI 模式配置错误</w:t>
      </w:r>
    </w:p>
    <w:p w14:paraId="58B9AC37">
      <w:pPr>
        <w:ind w:firstLine="440"/>
      </w:pPr>
      <w:r>
        <w:rPr>
          <w:rFonts w:ascii="宋体" w:hAnsi="宋体" w:eastAsia="宋体"/>
          <w:b w:val="0"/>
          <w:sz w:val="22"/>
        </w:rPr>
        <w:t>首次烧录程序后，用示波器观察到的波形周期接近 10 秒，而设定频率为 1kHz（周期应为 1ms）。检查代码逻辑无误后，发现问题出在 STM32CubeMX 的 SPI 配置上：CPHA 参数被错误地设为"2 Edge"（对应 CPHA=1，即 SPI Mode 3）。</w:t>
      </w:r>
    </w:p>
    <w:p w14:paraId="73E1EDF8">
      <w:pPr>
        <w:ind w:firstLine="440"/>
      </w:pPr>
      <w:r>
        <w:rPr>
          <w:rFonts w:ascii="宋体" w:hAnsi="宋体" w:eastAsia="宋体"/>
          <w:b w:val="0"/>
          <w:sz w:val="22"/>
        </w:rPr>
        <w:t>根因分析：CubeMX 中"CPHA=2 Edge"的含义是"在第二个时钟边沿采样数据"，而 AD9833 数据手册第 7 页的时序图明确标注"Data is clocked into the AD9833 on the falling edge of SCLK"。在 CPOL=1（时钟空闲为高电平）的前提下，下降沿是第一个时钟边沿，因此 CPHA 应为 0（对应 CubeMX 中的"1 Edge"），即 SPI Mode 2。将 CPHA 改为"1 Edge"后，输出频率恢复正常。</w:t>
      </w:r>
    </w:p>
    <w:p w14:paraId="5934EA9C">
      <w:pPr>
        <w:ind w:firstLine="440"/>
      </w:pPr>
      <w:r>
        <w:rPr>
          <w:rFonts w:ascii="宋体" w:hAnsi="宋体" w:eastAsia="宋体"/>
          <w:b w:val="0"/>
          <w:sz w:val="22"/>
        </w:rPr>
        <w:t>反思：SPI 模式的选择不能凭直觉（"下降沿就是第二个边沿"），必须严格对照数据手册的时序图，确认 CPOL（空闲电平）和 CPHA（采样边沿序号）两个参数。</w:t>
      </w:r>
    </w:p>
    <w:p w14:paraId="32627873">
      <w:pPr>
        <w:pStyle w:val="4"/>
      </w:pPr>
      <w:r>
        <w:rPr>
          <w:rFonts w:ascii="黑体" w:hAnsi="黑体" w:eastAsia="黑体"/>
        </w:rPr>
        <w:t>5.3 关键问题二：波形切换时寄存器覆盖</w:t>
      </w:r>
    </w:p>
    <w:p w14:paraId="108672B2">
      <w:pPr>
        <w:ind w:firstLine="440"/>
      </w:pPr>
      <w:r>
        <w:rPr>
          <w:rFonts w:ascii="宋体" w:hAnsi="宋体" w:eastAsia="宋体"/>
          <w:b w:val="0"/>
          <w:sz w:val="22"/>
        </w:rPr>
        <w:t>频率调节功能正常工作后，发现波形切换命令无响应——无论发送 wave 0、1 还是 2，输出始终是正弦波。追踪代码后发现，AD9833_SetWave() 函数在写入波形控制字（如 CTRL_SQUARE=0x2128）后，用 BIT_B28（0x2000）来释放复位。直接写入 0x2000 意味着将整个控制寄存器的低 8 位全部清零，MODE 位、OPBITEN 位和 DIV2 位都被覆盖为 0——而正弦波恰好不需要这些位（全 0），所以"正弦波能用"完全是一个巧合。</w:t>
      </w:r>
    </w:p>
    <w:p w14:paraId="6277FACE">
      <w:pPr>
        <w:ind w:firstLine="440"/>
      </w:pPr>
      <w:r>
        <w:rPr>
          <w:rFonts w:ascii="宋体" w:hAnsi="宋体" w:eastAsia="宋体"/>
          <w:b w:val="0"/>
          <w:sz w:val="22"/>
        </w:rPr>
        <w:t>修复方法：将释放复位的操作从"直接写 BIT_B28（0x2000）"改为"写 wave_ctrl &amp; ~BIT_RESET"——用位掩码运算只翻转 RESET 位（bit 8），其余位完全保留不变。修复后三种波形均切换正常。</w:t>
      </w:r>
    </w:p>
    <w:p w14:paraId="502869C1">
      <w:pPr>
        <w:ind w:firstLine="440"/>
      </w:pPr>
      <w:r>
        <w:rPr>
          <w:rFonts w:ascii="宋体" w:hAnsi="宋体" w:eastAsia="宋体"/>
          <w:b w:val="0"/>
          <w:sz w:val="22"/>
        </w:rPr>
        <w:t>反思：修改寄存器中的某一个 bit 时，必须使用位掩码操作（&amp;= ~BIT 清零，|= BIT 置位），绝不能写一个"看上去差不多"的全新值。测试时必须覆盖所有状态组合，不能因为一种情况 pass 就推定全对。</w:t>
      </w:r>
    </w:p>
    <w:p w14:paraId="555F177E">
      <w:pPr>
        <w:pStyle w:val="3"/>
      </w:pPr>
      <w:r>
        <w:rPr>
          <w:rFonts w:ascii="黑体" w:hAnsi="黑体" w:eastAsia="黑体"/>
        </w:rPr>
        <w:t>六、创新点与收获体会</w:t>
      </w:r>
    </w:p>
    <w:p w14:paraId="3A98BBA6">
      <w:pPr>
        <w:pStyle w:val="4"/>
      </w:pPr>
      <w:r>
        <w:rPr>
          <w:rFonts w:ascii="黑体" w:hAnsi="黑体" w:eastAsia="黑体"/>
        </w:rPr>
        <w:t>6.1 创新点</w:t>
      </w:r>
    </w:p>
    <w:p w14:paraId="59EB0EB0">
      <w:pPr>
        <w:pStyle w:val="16"/>
      </w:pPr>
      <w:r>
        <w:rPr>
          <w:rFonts w:ascii="宋体" w:hAnsi="宋体" w:eastAsia="宋体"/>
          <w:sz w:val="22"/>
        </w:rPr>
        <w:t>"积木式"宏定义方法：将芯片控制寄存器的每一位独立定义为宏常量，波形组合用 OR 操作实现，使代码与数据手册之间建立了一一对应的追溯关系。该方法可复用到后续任何芯片的驱动开发中。</w:t>
      </w:r>
    </w:p>
    <w:p w14:paraId="4A89CC80">
      <w:pPr>
        <w:pStyle w:val="16"/>
      </w:pPr>
      <w:r>
        <w:rPr>
          <w:rFonts w:ascii="宋体" w:hAnsi="宋体" w:eastAsia="宋体"/>
          <w:sz w:val="22"/>
        </w:rPr>
        <w:t>"数据手册驱动开发"方法论：从时序图到 CubeMX 参数，从寄存器表到宏定义，从操作流程到函数实现，每一步都有手册依据。该方法论已在备赛文档中系统化总结，成为后续项目的标准开发范式。</w:t>
      </w:r>
    </w:p>
    <w:p w14:paraId="0D83342F">
      <w:pPr>
        <w:pStyle w:val="16"/>
      </w:pPr>
      <w:r>
        <w:rPr>
          <w:rFonts w:ascii="宋体" w:hAnsi="宋体" w:eastAsia="宋体"/>
          <w:sz w:val="22"/>
        </w:rPr>
        <w:t>串口实时控制 + 扫频功能：超越了 AD9833 基本使用，加入了实时命令交互和自动扫频功能，使信号源具备了初步的"仪器化"特征，可直接用于后续的电路测试和频率响应测量。</w:t>
      </w:r>
    </w:p>
    <w:p w14:paraId="0E98FD3D">
      <w:pPr>
        <w:pStyle w:val="4"/>
      </w:pPr>
      <w:r>
        <w:rPr>
          <w:rFonts w:ascii="黑体" w:hAnsi="黑体" w:eastAsia="黑体"/>
        </w:rPr>
        <w:t>6.2 技术收获</w:t>
      </w:r>
    </w:p>
    <w:p w14:paraId="7B5CB1C4">
      <w:pPr>
        <w:pStyle w:val="16"/>
      </w:pPr>
      <w:r>
        <w:rPr>
          <w:rFonts w:ascii="宋体" w:hAnsi="宋体" w:eastAsia="宋体"/>
          <w:sz w:val="22"/>
        </w:rPr>
        <w:t>深入理解了 SPI 通信协议的四种工作模式及其与芯片时序图的对应关系。</w:t>
      </w:r>
    </w:p>
    <w:p w14:paraId="6007F8FA">
      <w:pPr>
        <w:pStyle w:val="16"/>
      </w:pPr>
      <w:r>
        <w:rPr>
          <w:rFonts w:ascii="宋体" w:hAnsi="宋体" w:eastAsia="宋体"/>
          <w:sz w:val="22"/>
        </w:rPr>
        <w:t>掌握了 DDS 频率合成的基本原理，能够根据频率分辨率反推频率字的计算公式。</w:t>
      </w:r>
    </w:p>
    <w:p w14:paraId="797ADC33">
      <w:pPr>
        <w:pStyle w:val="16"/>
      </w:pPr>
      <w:r>
        <w:rPr>
          <w:rFonts w:ascii="宋体" w:hAnsi="宋体" w:eastAsia="宋体"/>
          <w:sz w:val="22"/>
        </w:rPr>
        <w:t>学会了 STM32CubeIDE 从 Pinout 配置 → Clock 配置 → 外设参数的全流程使用方法。</w:t>
      </w:r>
    </w:p>
    <w:p w14:paraId="45AF20CC">
      <w:pPr>
        <w:pStyle w:val="16"/>
      </w:pPr>
      <w:r>
        <w:rPr>
          <w:rFonts w:ascii="宋体" w:hAnsi="宋体" w:eastAsia="宋体"/>
          <w:sz w:val="22"/>
        </w:rPr>
        <w:t>体会到位运算在寄存器级编程中的核心作用，掌握了安全的位掩码操作规范。</w:t>
      </w:r>
    </w:p>
    <w:p w14:paraId="5BE56B4D">
      <w:pPr>
        <w:pStyle w:val="16"/>
      </w:pPr>
      <w:r>
        <w:rPr>
          <w:rFonts w:ascii="宋体" w:hAnsi="宋体" w:eastAsia="宋体"/>
          <w:sz w:val="22"/>
        </w:rPr>
        <w:t>认识到"先复位→改参数→释放复位"这一通用操作流程在芯片初始化中的重要性。</w:t>
      </w:r>
    </w:p>
    <w:p w14:paraId="18CE2F4D">
      <w:pPr>
        <w:pStyle w:val="4"/>
      </w:pPr>
      <w:r>
        <w:rPr>
          <w:rFonts w:ascii="黑体" w:hAnsi="黑体" w:eastAsia="黑体"/>
        </w:rPr>
        <w:t>6.3 工程素养提升</w:t>
      </w:r>
    </w:p>
    <w:p w14:paraId="58A1540E">
      <w:pPr>
        <w:pStyle w:val="16"/>
      </w:pPr>
      <w:r>
        <w:rPr>
          <w:rFonts w:ascii="宋体" w:hAnsi="宋体" w:eastAsia="宋体"/>
          <w:sz w:val="22"/>
        </w:rPr>
        <w:t>培养了阅读英文数据手册的能力，学会从时序图中提取通信参数、从寄存器表中推导代码结构。</w:t>
      </w:r>
    </w:p>
    <w:p w14:paraId="35DEEBB4">
      <w:pPr>
        <w:pStyle w:val="16"/>
      </w:pPr>
      <w:r>
        <w:rPr>
          <w:rFonts w:ascii="宋体" w:hAnsi="宋体" w:eastAsia="宋体"/>
          <w:sz w:val="22"/>
        </w:rPr>
        <w:t>建立了"测试驱动验证"的思维：代码写完不是终点，用示波器/逻辑分析仪验证才算完成。</w:t>
      </w:r>
    </w:p>
    <w:p w14:paraId="5E092B9B">
      <w:pPr>
        <w:pStyle w:val="16"/>
      </w:pPr>
      <w:r>
        <w:rPr>
          <w:rFonts w:ascii="宋体" w:hAnsi="宋体" w:eastAsia="宋体"/>
          <w:sz w:val="22"/>
        </w:rPr>
        <w:t>形成了 Git 版本管理 + 文档同步的习惯：项目代码、开发记录、错误总结全部入库管理。</w:t>
      </w:r>
    </w:p>
    <w:p w14:paraId="334DC471">
      <w:pPr>
        <w:pStyle w:val="16"/>
      </w:pPr>
      <w:r>
        <w:rPr>
          <w:rFonts w:ascii="宋体" w:hAnsi="宋体" w:eastAsia="宋体"/>
          <w:sz w:val="22"/>
        </w:rPr>
        <w:t>理解到嵌入式开发中"硬件理解"先于"软件编写"的工程逻辑：在写一行代码前，原理图和数据手册已经决定了方案。</w:t>
      </w:r>
    </w:p>
    <w:p w14:paraId="570AD45C">
      <w:pPr>
        <w:pStyle w:val="3"/>
      </w:pPr>
      <w:r>
        <w:rPr>
          <w:rFonts w:ascii="黑体" w:hAnsi="黑体" w:eastAsia="黑体"/>
        </w:rPr>
        <w:t>七、结论与展望</w:t>
      </w:r>
    </w:p>
    <w:p w14:paraId="07125944">
      <w:pPr>
        <w:ind w:firstLine="440"/>
      </w:pPr>
      <w:r>
        <w:rPr>
          <w:rFonts w:ascii="宋体" w:hAnsi="宋体" w:eastAsia="宋体"/>
          <w:b w:val="0"/>
          <w:sz w:val="22"/>
        </w:rPr>
        <w:t>本报告完整记录了一个基于 STM32F103C8T6 与 AD9833 的可编程信号源项目的设计全过程，从硬件选型、电路分析、通信协议理解、CubeMX 外设配置、驱动代码编写到系统调试与优化，形成了完整的闭环。该系统实现了 0.1 Hz 至 12.5 MHz 频率范围内正弦波、三角波和方波的程序控制输出，经示波器测试验证，频率精度和波形质量满足电赛仪表方向备赛需求。</w:t>
      </w:r>
    </w:p>
    <w:p w14:paraId="76F58559">
      <w:pPr>
        <w:ind w:firstLine="440"/>
      </w:pPr>
      <w:r>
        <w:rPr>
          <w:rFonts w:ascii="宋体" w:hAnsi="宋体" w:eastAsia="宋体"/>
          <w:b w:val="0"/>
          <w:sz w:val="22"/>
        </w:rPr>
        <w:t>通过本项目，作者不仅掌握了 SPI 通信、DDS 原理、HAL 库编程等具体技术技能，更重要的是形成了一套可复用的"数据手册驱动开发"方法论——拿到任何一颗新芯片，先看时序图确定通信参数，再看寄存器表构建宏定义块，最后参照操作流程编写驱动函数。该方法论已在 AD835 乘法器模块的学习中继续应用并持续完善。</w:t>
      </w:r>
    </w:p>
    <w:p w14:paraId="4333D097">
      <w:pPr>
        <w:ind w:firstLine="440"/>
      </w:pPr>
      <w:r>
        <w:rPr>
          <w:rFonts w:ascii="宋体" w:hAnsi="宋体" w:eastAsia="宋体"/>
          <w:b w:val="0"/>
          <w:sz w:val="22"/>
        </w:rPr>
        <w:t>后续工作展望：一是将本信号源与 AD835 模拟乘法器组合，搭建锁相放大器（LIA）原型，实现微弱信号的相敏检测；二是增加 LCD 显示屏和旋转编码器，脱离串口实现独立的人机交互界面；三是探索将 STM32 的 DAC 或外部高速 DAC 与 FPGA 结合，实现更高频率、更高分辨率的信号源。</w:t>
      </w:r>
    </w:p>
    <w:p w14:paraId="5F4243D2">
      <w:pPr>
        <w:pStyle w:val="3"/>
      </w:pPr>
      <w:r>
        <w:rPr>
          <w:rFonts w:ascii="黑体" w:hAnsi="黑体" w:eastAsia="黑体"/>
        </w:rPr>
        <w:t>参考文献</w:t>
      </w:r>
    </w:p>
    <w:p w14:paraId="2814C936">
      <w:pPr>
        <w:ind w:firstLine="0"/>
      </w:pPr>
      <w:r>
        <w:rPr>
          <w:rFonts w:ascii="宋体" w:hAnsi="宋体" w:eastAsia="宋体"/>
          <w:sz w:val="20"/>
        </w:rPr>
        <w:t>[1] Analog Devices. AD9833: Low Power, 12.65 mW, 2.3 V to 5.5 V, Programmable Waveform Generator Data Sheet (Rev. E) [Z]. 2012.</w:t>
      </w:r>
    </w:p>
    <w:p w14:paraId="70178972">
      <w:pPr>
        <w:ind w:firstLine="0"/>
      </w:pPr>
      <w:r>
        <w:rPr>
          <w:rFonts w:ascii="宋体" w:hAnsi="宋体" w:eastAsia="宋体"/>
          <w:sz w:val="20"/>
        </w:rPr>
        <w:t>[2] STMicroelectronics. STM32F103x8/STM32F103xB Datasheet: Medium-density performance line ARM®-based 32-bit MCU (Rev. 19) [Z]. 2023.</w:t>
      </w:r>
    </w:p>
    <w:p w14:paraId="69941BFB">
      <w:pPr>
        <w:ind w:firstLine="0"/>
      </w:pPr>
      <w:r>
        <w:rPr>
          <w:rFonts w:ascii="宋体" w:hAnsi="宋体" w:eastAsia="宋体"/>
          <w:sz w:val="20"/>
        </w:rPr>
        <w:t>[3] STMicroelectronics. RM0008: STM32F101xx/STM32F102xx/STM32F103xx Reference Manual (Rev. 21) [Z]. 2021.</w:t>
      </w:r>
    </w:p>
    <w:p w14:paraId="099E8BC7">
      <w:pPr>
        <w:ind w:firstLine="0"/>
      </w:pPr>
      <w:r>
        <w:rPr>
          <w:rFonts w:ascii="宋体" w:hAnsi="宋体" w:eastAsia="宋体"/>
          <w:sz w:val="20"/>
        </w:rPr>
        <w:t>[4] 全国大学生电子设计竞赛组委会. 全国大学生电子设计竞赛章程 [Z]. 2023.</w:t>
      </w:r>
    </w:p>
    <w:p w14:paraId="66EC8A35">
      <w:pPr>
        <w:ind w:firstLine="0"/>
      </w:pPr>
      <w:r>
        <w:rPr>
          <w:rFonts w:ascii="宋体" w:hAnsi="宋体" w:eastAsia="宋体"/>
          <w:sz w:val="20"/>
        </w:rPr>
        <w:t>[5] 童诗白, 华成英. 模拟电子技术基础(第5版)[M]. 北京: 高等教育出版社, 2015.</w:t>
      </w:r>
    </w:p>
    <w:p w14:paraId="01070B8C">
      <w:pPr>
        <w:ind w:firstLine="0"/>
      </w:pPr>
      <w:r>
        <w:rPr>
          <w:rFonts w:ascii="宋体" w:hAnsi="宋体" w:eastAsia="宋体"/>
          <w:sz w:val="20"/>
        </w:rPr>
        <w:t>[6] 刘火良, 杨森. STM32库开发实战指南(第2版)[M]. 北京: 机械工业出版社, 2020.</w:t>
      </w:r>
    </w:p>
    <w:p w14:paraId="2D7AF560">
      <w:r>
        <w:br w:type="page"/>
      </w:r>
    </w:p>
    <w:p w14:paraId="395BDD9A">
      <w:pPr>
        <w:pStyle w:val="3"/>
      </w:pPr>
      <w:r>
        <w:rPr>
          <w:rFonts w:ascii="黑体" w:hAnsi="黑体" w:eastAsia="黑体"/>
        </w:rPr>
        <w:t>附  录</w:t>
      </w:r>
    </w:p>
    <w:p w14:paraId="68ACEBF5">
      <w:pPr>
        <w:pStyle w:val="4"/>
      </w:pPr>
      <w:r>
        <w:rPr>
          <w:rFonts w:ascii="黑体" w:hAnsi="黑体" w:eastAsia="黑体"/>
        </w:rPr>
        <w:t>附录 A  硬件接线表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6549A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shd w:val="clear" w:color="auto" w:fill="D9E2F3"/>
          </w:tcPr>
          <w:p w14:paraId="7820575B">
            <w:pPr>
              <w:jc w:val="center"/>
            </w:pPr>
            <w:r>
              <w:rPr>
                <w:rFonts w:ascii="宋体" w:hAnsi="宋体" w:eastAsia="宋体"/>
                <w:b/>
                <w:sz w:val="20"/>
              </w:rPr>
              <w:t>STM32 Blue Pill</w:t>
            </w:r>
          </w:p>
        </w:tc>
        <w:tc>
          <w:tcPr>
            <w:tcW w:w="2309" w:type="dxa"/>
            <w:shd w:val="clear" w:color="auto" w:fill="D9E2F3"/>
          </w:tcPr>
          <w:p w14:paraId="50DE60A8">
            <w:pPr>
              <w:jc w:val="center"/>
            </w:pPr>
            <w:r>
              <w:rPr>
                <w:rFonts w:ascii="宋体" w:hAnsi="宋体" w:eastAsia="宋体"/>
                <w:b/>
                <w:sz w:val="20"/>
              </w:rPr>
              <w:t>连接线</w:t>
            </w:r>
          </w:p>
        </w:tc>
        <w:tc>
          <w:tcPr>
            <w:tcW w:w="2309" w:type="dxa"/>
            <w:shd w:val="clear" w:color="auto" w:fill="D9E2F3"/>
          </w:tcPr>
          <w:p w14:paraId="071105E5">
            <w:pPr>
              <w:jc w:val="center"/>
            </w:pPr>
            <w:r>
              <w:rPr>
                <w:rFonts w:ascii="宋体" w:hAnsi="宋体" w:eastAsia="宋体"/>
                <w:b/>
                <w:sz w:val="20"/>
              </w:rPr>
              <w:t>AD9833 V40 模块</w:t>
            </w:r>
          </w:p>
        </w:tc>
        <w:tc>
          <w:tcPr>
            <w:tcW w:w="2309" w:type="dxa"/>
            <w:shd w:val="clear" w:color="auto" w:fill="D9E2F3"/>
          </w:tcPr>
          <w:p w14:paraId="66A0D9DB">
            <w:pPr>
              <w:jc w:val="center"/>
            </w:pPr>
            <w:r>
              <w:rPr>
                <w:rFonts w:ascii="宋体" w:hAnsi="宋体" w:eastAsia="宋体"/>
                <w:b/>
                <w:sz w:val="20"/>
              </w:rPr>
              <w:t>备注</w:t>
            </w:r>
          </w:p>
        </w:tc>
      </w:tr>
      <w:tr w14:paraId="38F8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7D823D83">
            <w:pPr>
              <w:jc w:val="center"/>
            </w:pPr>
            <w:r>
              <w:rPr>
                <w:rFonts w:ascii="宋体" w:hAnsi="宋体" w:eastAsia="宋体"/>
                <w:sz w:val="20"/>
              </w:rPr>
              <w:t>PA4 (GPIO Output)</w:t>
            </w:r>
          </w:p>
        </w:tc>
        <w:tc>
          <w:tcPr>
            <w:tcW w:w="2309" w:type="dxa"/>
          </w:tcPr>
          <w:p w14:paraId="566A72A3">
            <w:pPr>
              <w:jc w:val="center"/>
            </w:pPr>
            <w:r>
              <w:rPr>
                <w:rFonts w:ascii="宋体" w:hAnsi="宋体" w:eastAsia="宋体"/>
                <w:sz w:val="20"/>
              </w:rPr>
              <w:t>杜邦线(黄)</w:t>
            </w:r>
          </w:p>
        </w:tc>
        <w:tc>
          <w:tcPr>
            <w:tcW w:w="2309" w:type="dxa"/>
          </w:tcPr>
          <w:p w14:paraId="6BC563A5">
            <w:pPr>
              <w:jc w:val="center"/>
            </w:pPr>
            <w:r>
              <w:rPr>
                <w:rFonts w:ascii="宋体" w:hAnsi="宋体" w:eastAsia="宋体"/>
                <w:sz w:val="20"/>
              </w:rPr>
              <w:t>FSYNC</w:t>
            </w:r>
          </w:p>
        </w:tc>
        <w:tc>
          <w:tcPr>
            <w:tcW w:w="2309" w:type="dxa"/>
          </w:tcPr>
          <w:p w14:paraId="0A71198A">
            <w:pPr>
              <w:jc w:val="center"/>
            </w:pPr>
            <w:r>
              <w:rPr>
                <w:rFonts w:ascii="宋体" w:hAnsi="宋体" w:eastAsia="宋体"/>
                <w:sz w:val="20"/>
              </w:rPr>
              <w:t>软件控制帧同步</w:t>
            </w:r>
          </w:p>
        </w:tc>
      </w:tr>
      <w:tr w14:paraId="7C7A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62011B40">
            <w:pPr>
              <w:jc w:val="center"/>
            </w:pPr>
            <w:r>
              <w:rPr>
                <w:rFonts w:ascii="宋体" w:hAnsi="宋体" w:eastAsia="宋体"/>
                <w:sz w:val="20"/>
              </w:rPr>
              <w:t>PA5 (SPI1_SCK)</w:t>
            </w:r>
          </w:p>
        </w:tc>
        <w:tc>
          <w:tcPr>
            <w:tcW w:w="2309" w:type="dxa"/>
          </w:tcPr>
          <w:p w14:paraId="5BA992D9">
            <w:pPr>
              <w:jc w:val="center"/>
            </w:pPr>
            <w:r>
              <w:rPr>
                <w:rFonts w:ascii="宋体" w:hAnsi="宋体" w:eastAsia="宋体"/>
                <w:sz w:val="20"/>
              </w:rPr>
              <w:t>杜邦线(绿)</w:t>
            </w:r>
          </w:p>
        </w:tc>
        <w:tc>
          <w:tcPr>
            <w:tcW w:w="2309" w:type="dxa"/>
          </w:tcPr>
          <w:p w14:paraId="1F0B38DD">
            <w:pPr>
              <w:jc w:val="center"/>
            </w:pPr>
            <w:r>
              <w:rPr>
                <w:rFonts w:ascii="宋体" w:hAnsi="宋体" w:eastAsia="宋体"/>
                <w:sz w:val="20"/>
              </w:rPr>
              <w:t>SCLK</w:t>
            </w:r>
          </w:p>
        </w:tc>
        <w:tc>
          <w:tcPr>
            <w:tcW w:w="2309" w:type="dxa"/>
          </w:tcPr>
          <w:p w14:paraId="20DC3081">
            <w:pPr>
              <w:jc w:val="center"/>
            </w:pPr>
            <w:r>
              <w:rPr>
                <w:rFonts w:ascii="宋体" w:hAnsi="宋体" w:eastAsia="宋体"/>
                <w:sz w:val="20"/>
              </w:rPr>
              <w:t>SPI 时钟</w:t>
            </w:r>
          </w:p>
        </w:tc>
      </w:tr>
      <w:tr w14:paraId="5104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566B0B4F">
            <w:pPr>
              <w:jc w:val="center"/>
            </w:pPr>
            <w:r>
              <w:rPr>
                <w:rFonts w:ascii="宋体" w:hAnsi="宋体" w:eastAsia="宋体"/>
                <w:sz w:val="20"/>
              </w:rPr>
              <w:t>PA7 (SPI1_MOSI)</w:t>
            </w:r>
          </w:p>
        </w:tc>
        <w:tc>
          <w:tcPr>
            <w:tcW w:w="2309" w:type="dxa"/>
          </w:tcPr>
          <w:p w14:paraId="7B0AFCFD">
            <w:pPr>
              <w:jc w:val="center"/>
            </w:pPr>
            <w:r>
              <w:rPr>
                <w:rFonts w:ascii="宋体" w:hAnsi="宋体" w:eastAsia="宋体"/>
                <w:sz w:val="20"/>
              </w:rPr>
              <w:t>杜邦线(蓝)</w:t>
            </w:r>
          </w:p>
        </w:tc>
        <w:tc>
          <w:tcPr>
            <w:tcW w:w="2309" w:type="dxa"/>
          </w:tcPr>
          <w:p w14:paraId="4308FE3C">
            <w:pPr>
              <w:jc w:val="center"/>
            </w:pPr>
            <w:r>
              <w:rPr>
                <w:rFonts w:ascii="宋体" w:hAnsi="宋体" w:eastAsia="宋体"/>
                <w:sz w:val="20"/>
              </w:rPr>
              <w:t>SDATA</w:t>
            </w:r>
          </w:p>
        </w:tc>
        <w:tc>
          <w:tcPr>
            <w:tcW w:w="2309" w:type="dxa"/>
          </w:tcPr>
          <w:p w14:paraId="4C29E2CD">
            <w:pPr>
              <w:jc w:val="center"/>
            </w:pPr>
            <w:r>
              <w:rPr>
                <w:rFonts w:ascii="宋体" w:hAnsi="宋体" w:eastAsia="宋体"/>
                <w:sz w:val="20"/>
              </w:rPr>
              <w:t>SPI 数据(主出从入)</w:t>
            </w:r>
          </w:p>
        </w:tc>
      </w:tr>
      <w:tr w14:paraId="7124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51C3FE21">
            <w:pPr>
              <w:jc w:val="center"/>
            </w:pPr>
            <w:r>
              <w:rPr>
                <w:rFonts w:ascii="宋体" w:hAnsi="宋体" w:eastAsia="宋体"/>
                <w:sz w:val="20"/>
              </w:rPr>
              <w:t>3.3V</w:t>
            </w:r>
          </w:p>
        </w:tc>
        <w:tc>
          <w:tcPr>
            <w:tcW w:w="2309" w:type="dxa"/>
          </w:tcPr>
          <w:p w14:paraId="61856D1E">
            <w:pPr>
              <w:jc w:val="center"/>
            </w:pPr>
            <w:r>
              <w:rPr>
                <w:rFonts w:ascii="宋体" w:hAnsi="宋体" w:eastAsia="宋体"/>
                <w:sz w:val="20"/>
              </w:rPr>
              <w:t>杜邦线(红)</w:t>
            </w:r>
          </w:p>
        </w:tc>
        <w:tc>
          <w:tcPr>
            <w:tcW w:w="2309" w:type="dxa"/>
          </w:tcPr>
          <w:p w14:paraId="488D6893">
            <w:pPr>
              <w:jc w:val="center"/>
            </w:pPr>
            <w:r>
              <w:rPr>
                <w:rFonts w:ascii="宋体" w:hAnsi="宋体" w:eastAsia="宋体"/>
                <w:sz w:val="20"/>
              </w:rPr>
              <w:t>VCC</w:t>
            </w:r>
          </w:p>
        </w:tc>
        <w:tc>
          <w:tcPr>
            <w:tcW w:w="2309" w:type="dxa"/>
          </w:tcPr>
          <w:p w14:paraId="11906E0D">
            <w:pPr>
              <w:jc w:val="center"/>
            </w:pPr>
            <w:r>
              <w:rPr>
                <w:rFonts w:ascii="宋体" w:hAnsi="宋体" w:eastAsia="宋体"/>
                <w:sz w:val="20"/>
              </w:rPr>
              <w:t>3.3V 统一供电</w:t>
            </w:r>
          </w:p>
        </w:tc>
      </w:tr>
      <w:tr w14:paraId="16C3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6266FA48">
            <w:pPr>
              <w:jc w:val="center"/>
            </w:pPr>
            <w:r>
              <w:rPr>
                <w:rFonts w:ascii="宋体" w:hAnsi="宋体" w:eastAsia="宋体"/>
                <w:sz w:val="20"/>
              </w:rPr>
              <w:t>GND</w:t>
            </w:r>
          </w:p>
        </w:tc>
        <w:tc>
          <w:tcPr>
            <w:tcW w:w="2309" w:type="dxa"/>
          </w:tcPr>
          <w:p w14:paraId="62FD4D7B">
            <w:pPr>
              <w:jc w:val="center"/>
            </w:pPr>
            <w:r>
              <w:rPr>
                <w:rFonts w:ascii="宋体" w:hAnsi="宋体" w:eastAsia="宋体"/>
                <w:sz w:val="20"/>
              </w:rPr>
              <w:t>杜邦线(黑)</w:t>
            </w:r>
          </w:p>
        </w:tc>
        <w:tc>
          <w:tcPr>
            <w:tcW w:w="2309" w:type="dxa"/>
          </w:tcPr>
          <w:p w14:paraId="35778208">
            <w:pPr>
              <w:jc w:val="center"/>
            </w:pPr>
            <w:r>
              <w:rPr>
                <w:rFonts w:ascii="宋体" w:hAnsi="宋体" w:eastAsia="宋体"/>
                <w:sz w:val="20"/>
              </w:rPr>
              <w:t>GND</w:t>
            </w:r>
          </w:p>
        </w:tc>
        <w:tc>
          <w:tcPr>
            <w:tcW w:w="2309" w:type="dxa"/>
          </w:tcPr>
          <w:p w14:paraId="2F4372FB">
            <w:pPr>
              <w:jc w:val="center"/>
            </w:pPr>
            <w:r>
              <w:rPr>
                <w:rFonts w:ascii="宋体" w:hAnsi="宋体" w:eastAsia="宋体"/>
                <w:sz w:val="20"/>
              </w:rPr>
              <w:t>共地</w:t>
            </w:r>
          </w:p>
        </w:tc>
      </w:tr>
      <w:tr w14:paraId="7D72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2B1ECD96">
            <w:pPr>
              <w:jc w:val="center"/>
            </w:pPr>
            <w:r>
              <w:rPr>
                <w:rFonts w:ascii="宋体" w:hAnsi="宋体" w:eastAsia="宋体"/>
                <w:sz w:val="20"/>
              </w:rPr>
              <w:t>PA9 (USART1_TX)</w:t>
            </w:r>
          </w:p>
        </w:tc>
        <w:tc>
          <w:tcPr>
            <w:tcW w:w="2309" w:type="dxa"/>
          </w:tcPr>
          <w:p w14:paraId="22B46312">
            <w:pPr>
              <w:jc w:val="center"/>
            </w:pPr>
            <w:r>
              <w:rPr>
                <w:rFonts w:ascii="宋体" w:hAnsi="宋体" w:eastAsia="宋体"/>
                <w:sz w:val="20"/>
              </w:rPr>
              <w:t>USB-TTL(白)</w:t>
            </w:r>
          </w:p>
        </w:tc>
        <w:tc>
          <w:tcPr>
            <w:tcW w:w="2309" w:type="dxa"/>
          </w:tcPr>
          <w:p w14:paraId="39216D5B">
            <w:pPr>
              <w:jc w:val="center"/>
            </w:pPr>
            <w:r>
              <w:rPr>
                <w:rFonts w:ascii="宋体" w:hAnsi="宋体" w:eastAsia="宋体"/>
                <w:sz w:val="20"/>
              </w:rPr>
              <w:t>RX</w:t>
            </w:r>
          </w:p>
        </w:tc>
        <w:tc>
          <w:tcPr>
            <w:tcW w:w="2309" w:type="dxa"/>
          </w:tcPr>
          <w:p w14:paraId="0297E1C0">
            <w:pPr>
              <w:jc w:val="center"/>
            </w:pPr>
            <w:r>
              <w:rPr>
                <w:rFonts w:ascii="宋体" w:hAnsi="宋体" w:eastAsia="宋体"/>
                <w:sz w:val="20"/>
              </w:rPr>
              <w:t>串口发送(调试)</w:t>
            </w:r>
          </w:p>
        </w:tc>
      </w:tr>
      <w:tr w14:paraId="706C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5ED1CCA8">
            <w:pPr>
              <w:jc w:val="center"/>
            </w:pPr>
            <w:r>
              <w:rPr>
                <w:rFonts w:ascii="宋体" w:hAnsi="宋体" w:eastAsia="宋体"/>
                <w:sz w:val="20"/>
              </w:rPr>
              <w:t>PA10 (USART1_RX)</w:t>
            </w:r>
          </w:p>
        </w:tc>
        <w:tc>
          <w:tcPr>
            <w:tcW w:w="2309" w:type="dxa"/>
          </w:tcPr>
          <w:p w14:paraId="7698252B">
            <w:pPr>
              <w:jc w:val="center"/>
            </w:pPr>
            <w:r>
              <w:rPr>
                <w:rFonts w:ascii="宋体" w:hAnsi="宋体" w:eastAsia="宋体"/>
                <w:sz w:val="20"/>
              </w:rPr>
              <w:t>USB-TTL(绿)</w:t>
            </w:r>
          </w:p>
        </w:tc>
        <w:tc>
          <w:tcPr>
            <w:tcW w:w="2309" w:type="dxa"/>
          </w:tcPr>
          <w:p w14:paraId="0928C92A">
            <w:pPr>
              <w:jc w:val="center"/>
            </w:pPr>
            <w:r>
              <w:rPr>
                <w:rFonts w:ascii="宋体" w:hAnsi="宋体" w:eastAsia="宋体"/>
                <w:sz w:val="20"/>
              </w:rPr>
              <w:t>TX</w:t>
            </w:r>
          </w:p>
        </w:tc>
        <w:tc>
          <w:tcPr>
            <w:tcW w:w="2309" w:type="dxa"/>
          </w:tcPr>
          <w:p w14:paraId="3C9EF2E7">
            <w:pPr>
              <w:jc w:val="center"/>
            </w:pPr>
            <w:r>
              <w:rPr>
                <w:rFonts w:ascii="宋体" w:hAnsi="宋体" w:eastAsia="宋体"/>
                <w:sz w:val="20"/>
              </w:rPr>
              <w:t>串口接收(调试)</w:t>
            </w:r>
          </w:p>
        </w:tc>
      </w:tr>
      <w:tr w14:paraId="2610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tcPr>
          <w:p w14:paraId="05D55811">
            <w:pPr>
              <w:jc w:val="center"/>
            </w:pPr>
            <w:r>
              <w:rPr>
                <w:rFonts w:ascii="宋体" w:hAnsi="宋体" w:eastAsia="宋体"/>
                <w:sz w:val="20"/>
              </w:rPr>
              <w:t>GND</w:t>
            </w:r>
          </w:p>
        </w:tc>
        <w:tc>
          <w:tcPr>
            <w:tcW w:w="2309" w:type="dxa"/>
          </w:tcPr>
          <w:p w14:paraId="296220FA">
            <w:pPr>
              <w:jc w:val="center"/>
            </w:pPr>
            <w:r>
              <w:rPr>
                <w:rFonts w:ascii="宋体" w:hAnsi="宋体" w:eastAsia="宋体"/>
                <w:sz w:val="20"/>
              </w:rPr>
              <w:t>USB-TTL(黑)</w:t>
            </w:r>
          </w:p>
        </w:tc>
        <w:tc>
          <w:tcPr>
            <w:tcW w:w="2309" w:type="dxa"/>
          </w:tcPr>
          <w:p w14:paraId="5A9EF172">
            <w:pPr>
              <w:jc w:val="center"/>
            </w:pPr>
            <w:r>
              <w:rPr>
                <w:rFonts w:ascii="宋体" w:hAnsi="宋体" w:eastAsia="宋体"/>
                <w:sz w:val="20"/>
              </w:rPr>
              <w:t>GND</w:t>
            </w:r>
          </w:p>
        </w:tc>
        <w:tc>
          <w:tcPr>
            <w:tcW w:w="2309" w:type="dxa"/>
          </w:tcPr>
          <w:p w14:paraId="59A0C100">
            <w:pPr>
              <w:jc w:val="center"/>
            </w:pPr>
            <w:r>
              <w:rPr>
                <w:rFonts w:ascii="宋体" w:hAnsi="宋体" w:eastAsia="宋体"/>
                <w:sz w:val="20"/>
              </w:rPr>
              <w:t>串口共地</w:t>
            </w:r>
          </w:p>
        </w:tc>
      </w:tr>
    </w:tbl>
    <w:p w14:paraId="22706827"/>
    <w:p w14:paraId="2B4B2887">
      <w:pPr>
        <w:pStyle w:val="4"/>
      </w:pPr>
      <w:r>
        <w:rPr>
          <w:rFonts w:ascii="黑体" w:hAnsi="黑体" w:eastAsia="黑体"/>
        </w:rPr>
        <w:t>附录 B  关键参数速查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16C29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shd w:val="clear" w:color="auto" w:fill="D9E2F3"/>
          </w:tcPr>
          <w:p w14:paraId="1CCDA5BA">
            <w:pPr>
              <w:jc w:val="center"/>
            </w:pPr>
            <w:r>
              <w:rPr>
                <w:rFonts w:ascii="宋体" w:hAnsi="宋体" w:eastAsia="宋体"/>
                <w:b/>
                <w:sz w:val="20"/>
              </w:rPr>
              <w:t>参数项</w:t>
            </w:r>
          </w:p>
        </w:tc>
        <w:tc>
          <w:tcPr>
            <w:tcW w:w="3079" w:type="dxa"/>
            <w:shd w:val="clear" w:color="auto" w:fill="D9E2F3"/>
          </w:tcPr>
          <w:p w14:paraId="255D77B8">
            <w:pPr>
              <w:jc w:val="center"/>
            </w:pPr>
            <w:r>
              <w:rPr>
                <w:rFonts w:ascii="宋体" w:hAnsi="宋体" w:eastAsia="宋体"/>
                <w:b/>
                <w:sz w:val="20"/>
              </w:rPr>
              <w:t>数值</w:t>
            </w:r>
          </w:p>
        </w:tc>
        <w:tc>
          <w:tcPr>
            <w:tcW w:w="3079" w:type="dxa"/>
            <w:shd w:val="clear" w:color="auto" w:fill="D9E2F3"/>
          </w:tcPr>
          <w:p w14:paraId="0E278ED4">
            <w:pPr>
              <w:jc w:val="center"/>
            </w:pPr>
            <w:r>
              <w:rPr>
                <w:rFonts w:ascii="宋体" w:hAnsi="宋体" w:eastAsia="宋体"/>
                <w:b/>
                <w:sz w:val="20"/>
              </w:rPr>
              <w:t>来源/依据</w:t>
            </w:r>
          </w:p>
        </w:tc>
      </w:tr>
      <w:tr w14:paraId="544F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47B07C12">
            <w:pPr>
              <w:jc w:val="center"/>
            </w:pPr>
            <w:r>
              <w:rPr>
                <w:rFonts w:ascii="宋体" w:hAnsi="宋体" w:eastAsia="宋体"/>
                <w:sz w:val="20"/>
              </w:rPr>
              <w:t>SPI 模式</w:t>
            </w:r>
          </w:p>
        </w:tc>
        <w:tc>
          <w:tcPr>
            <w:tcW w:w="3079" w:type="dxa"/>
          </w:tcPr>
          <w:p w14:paraId="0F7F2E33">
            <w:pPr>
              <w:jc w:val="center"/>
            </w:pPr>
            <w:r>
              <w:rPr>
                <w:rFonts w:ascii="宋体" w:hAnsi="宋体" w:eastAsia="宋体"/>
                <w:sz w:val="20"/>
              </w:rPr>
              <w:t>Mode 2 (CPOL=1, CPHA=0)</w:t>
            </w:r>
          </w:p>
        </w:tc>
        <w:tc>
          <w:tcPr>
            <w:tcW w:w="3079" w:type="dxa"/>
          </w:tcPr>
          <w:p w14:paraId="5B4D4C91">
            <w:pPr>
              <w:jc w:val="center"/>
            </w:pPr>
            <w:r>
              <w:rPr>
                <w:rFonts w:ascii="宋体" w:hAnsi="宋体" w:eastAsia="宋体"/>
                <w:sz w:val="20"/>
              </w:rPr>
              <w:t>AD9833 手册第7页时序图</w:t>
            </w:r>
          </w:p>
        </w:tc>
      </w:tr>
      <w:tr w14:paraId="4AF2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262F84D1">
            <w:pPr>
              <w:jc w:val="center"/>
            </w:pPr>
            <w:r>
              <w:rPr>
                <w:rFonts w:ascii="宋体" w:hAnsi="宋体" w:eastAsia="宋体"/>
                <w:sz w:val="20"/>
              </w:rPr>
              <w:t>SPI 数据帧</w:t>
            </w:r>
          </w:p>
        </w:tc>
        <w:tc>
          <w:tcPr>
            <w:tcW w:w="3079" w:type="dxa"/>
          </w:tcPr>
          <w:p w14:paraId="673D0808">
            <w:pPr>
              <w:jc w:val="center"/>
            </w:pPr>
            <w:r>
              <w:rPr>
                <w:rFonts w:ascii="宋体" w:hAnsi="宋体" w:eastAsia="宋体"/>
                <w:sz w:val="20"/>
              </w:rPr>
              <w:t>16-bit, MSB First</w:t>
            </w:r>
          </w:p>
        </w:tc>
        <w:tc>
          <w:tcPr>
            <w:tcW w:w="3079" w:type="dxa"/>
          </w:tcPr>
          <w:p w14:paraId="7C7FB68E">
            <w:pPr>
              <w:jc w:val="center"/>
            </w:pPr>
            <w:r>
              <w:rPr>
                <w:rFonts w:ascii="宋体" w:hAnsi="宋体" w:eastAsia="宋体"/>
                <w:sz w:val="20"/>
              </w:rPr>
              <w:t>AD9833 手册第6页</w:t>
            </w:r>
          </w:p>
        </w:tc>
      </w:tr>
      <w:tr w14:paraId="440D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67090CBF">
            <w:pPr>
              <w:jc w:val="center"/>
            </w:pPr>
            <w:r>
              <w:rPr>
                <w:rFonts w:ascii="宋体" w:hAnsi="宋体" w:eastAsia="宋体"/>
                <w:sz w:val="20"/>
              </w:rPr>
              <w:t>SPI 时钟频率</w:t>
            </w:r>
          </w:p>
        </w:tc>
        <w:tc>
          <w:tcPr>
            <w:tcW w:w="3079" w:type="dxa"/>
          </w:tcPr>
          <w:p w14:paraId="387EDF5E">
            <w:pPr>
              <w:jc w:val="center"/>
            </w:pPr>
            <w:r>
              <w:rPr>
                <w:rFonts w:ascii="宋体" w:hAnsi="宋体" w:eastAsia="宋体"/>
                <w:sz w:val="20"/>
              </w:rPr>
              <w:t>~281 kHz</w:t>
            </w:r>
          </w:p>
        </w:tc>
        <w:tc>
          <w:tcPr>
            <w:tcW w:w="3079" w:type="dxa"/>
          </w:tcPr>
          <w:p w14:paraId="2D87DD5A">
            <w:pPr>
              <w:jc w:val="center"/>
            </w:pPr>
            <w:r>
              <w:rPr>
                <w:rFonts w:ascii="宋体" w:hAnsi="宋体" w:eastAsia="宋体"/>
                <w:sz w:val="20"/>
              </w:rPr>
              <w:t>72MHz / 256 ≈ 281kHz &lt;&lt; 40MHz上限</w:t>
            </w:r>
          </w:p>
        </w:tc>
      </w:tr>
      <w:tr w14:paraId="7896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4DEDC3D6">
            <w:pPr>
              <w:jc w:val="center"/>
            </w:pPr>
            <w:r>
              <w:rPr>
                <w:rFonts w:ascii="宋体" w:hAnsi="宋体" w:eastAsia="宋体"/>
                <w:sz w:val="20"/>
              </w:rPr>
              <w:t>频率分辨率</w:t>
            </w:r>
          </w:p>
        </w:tc>
        <w:tc>
          <w:tcPr>
            <w:tcW w:w="3079" w:type="dxa"/>
          </w:tcPr>
          <w:p w14:paraId="4933D584">
            <w:pPr>
              <w:jc w:val="center"/>
            </w:pPr>
            <w:r>
              <w:rPr>
                <w:rFonts w:ascii="宋体" w:hAnsi="宋体" w:eastAsia="宋体"/>
                <w:sz w:val="20"/>
              </w:rPr>
              <w:t>0.093 Hz</w:t>
            </w:r>
          </w:p>
        </w:tc>
        <w:tc>
          <w:tcPr>
            <w:tcW w:w="3079" w:type="dxa"/>
          </w:tcPr>
          <w:p w14:paraId="1831AFC5">
            <w:pPr>
              <w:jc w:val="center"/>
            </w:pPr>
            <w:r>
              <w:rPr>
                <w:rFonts w:ascii="宋体" w:hAnsi="宋体" w:eastAsia="宋体"/>
                <w:sz w:val="20"/>
              </w:rPr>
              <w:t>25MHz / 2^28 ≈ 0.093Hz</w:t>
            </w:r>
          </w:p>
        </w:tc>
      </w:tr>
      <w:tr w14:paraId="6573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0CBF55B3">
            <w:pPr>
              <w:jc w:val="center"/>
            </w:pPr>
            <w:r>
              <w:rPr>
                <w:rFonts w:ascii="宋体" w:hAnsi="宋体" w:eastAsia="宋体"/>
                <w:sz w:val="20"/>
              </w:rPr>
              <w:t>输出频率范围</w:t>
            </w:r>
          </w:p>
        </w:tc>
        <w:tc>
          <w:tcPr>
            <w:tcW w:w="3079" w:type="dxa"/>
          </w:tcPr>
          <w:p w14:paraId="222D89FF">
            <w:pPr>
              <w:jc w:val="center"/>
            </w:pPr>
            <w:r>
              <w:rPr>
                <w:rFonts w:ascii="宋体" w:hAnsi="宋体" w:eastAsia="宋体"/>
                <w:sz w:val="20"/>
              </w:rPr>
              <w:t>0.1 Hz ~ 12.5 MHz</w:t>
            </w:r>
          </w:p>
        </w:tc>
        <w:tc>
          <w:tcPr>
            <w:tcW w:w="3079" w:type="dxa"/>
          </w:tcPr>
          <w:p w14:paraId="31158406">
            <w:pPr>
              <w:jc w:val="center"/>
            </w:pPr>
            <w:r>
              <w:rPr>
                <w:rFonts w:ascii="宋体" w:hAnsi="宋体" w:eastAsia="宋体"/>
                <w:sz w:val="20"/>
              </w:rPr>
              <w:t>理论 Nyquist: MCLK/2 = 12.5MHz</w:t>
            </w:r>
          </w:p>
        </w:tc>
      </w:tr>
      <w:tr w14:paraId="3010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3BFD1D4F">
            <w:pPr>
              <w:jc w:val="center"/>
            </w:pPr>
            <w:r>
              <w:rPr>
                <w:rFonts w:ascii="宋体" w:hAnsi="宋体" w:eastAsia="宋体"/>
                <w:sz w:val="20"/>
              </w:rPr>
              <w:t>输出幅度</w:t>
            </w:r>
          </w:p>
        </w:tc>
        <w:tc>
          <w:tcPr>
            <w:tcW w:w="3079" w:type="dxa"/>
          </w:tcPr>
          <w:p w14:paraId="10C692C7">
            <w:pPr>
              <w:jc w:val="center"/>
            </w:pPr>
            <w:r>
              <w:rPr>
                <w:rFonts w:ascii="宋体" w:hAnsi="宋体" w:eastAsia="宋体"/>
                <w:sz w:val="20"/>
              </w:rPr>
              <w:t>~0.6 Vpp</w:t>
            </w:r>
          </w:p>
        </w:tc>
        <w:tc>
          <w:tcPr>
            <w:tcW w:w="3079" w:type="dxa"/>
          </w:tcPr>
          <w:p w14:paraId="591B67BA">
            <w:pPr>
              <w:jc w:val="center"/>
            </w:pPr>
            <w:r>
              <w:rPr>
                <w:rFonts w:ascii="宋体" w:hAnsi="宋体" w:eastAsia="宋体"/>
                <w:sz w:val="20"/>
              </w:rPr>
              <w:t>AD9833 模块无后级运放</w:t>
            </w:r>
          </w:p>
        </w:tc>
      </w:tr>
      <w:tr w14:paraId="102D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tcPr>
          <w:p w14:paraId="12A23558">
            <w:pPr>
              <w:jc w:val="center"/>
            </w:pPr>
            <w:r>
              <w:rPr>
                <w:rFonts w:ascii="宋体" w:hAnsi="宋体" w:eastAsia="宋体"/>
                <w:sz w:val="20"/>
              </w:rPr>
              <w:t>频率字公式</w:t>
            </w:r>
          </w:p>
        </w:tc>
        <w:tc>
          <w:tcPr>
            <w:tcW w:w="3079" w:type="dxa"/>
          </w:tcPr>
          <w:p w14:paraId="54319C3F">
            <w:pPr>
              <w:jc w:val="center"/>
            </w:pPr>
            <w:r>
              <w:rPr>
                <w:rFonts w:ascii="宋体" w:hAnsi="宋体" w:eastAsia="宋体"/>
                <w:sz w:val="20"/>
              </w:rPr>
              <w:t>f_word = f_out × 2^28 / 25MHz</w:t>
            </w:r>
          </w:p>
        </w:tc>
        <w:tc>
          <w:tcPr>
            <w:tcW w:w="3079" w:type="dxa"/>
          </w:tcPr>
          <w:p w14:paraId="0849B50C">
            <w:pPr>
              <w:jc w:val="center"/>
            </w:pPr>
            <w:r>
              <w:rPr>
                <w:rFonts w:ascii="宋体" w:hAnsi="宋体" w:eastAsia="宋体"/>
                <w:sz w:val="20"/>
              </w:rPr>
              <w:t>AD9833 手册第8页</w:t>
            </w:r>
          </w:p>
        </w:tc>
      </w:tr>
    </w:tbl>
    <w:p w14:paraId="1374AA71"/>
    <w:sectPr>
      <w:pgSz w:w="12240" w:h="15840"/>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华文新魏">
    <w:panose1 w:val="02010800040101010101"/>
    <w:charset w:val="86"/>
    <w:family w:val="auto"/>
    <w:pitch w:val="default"/>
    <w:sig w:usb0="00000001" w:usb1="080F0000" w:usb2="00000000" w:usb3="00000000" w:csb0="0004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1209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1501</Words>
  <Characters>1903</Characters>
  <Lines>0</Lines>
  <Paragraphs>0</Paragraphs>
  <TotalTime>1</TotalTime>
  <ScaleCrop>false</ScaleCrop>
  <LinksUpToDate>false</LinksUpToDate>
  <CharactersWithSpaces>2284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范旭阳</cp:lastModifiedBy>
  <dcterms:modified xsi:type="dcterms:W3CDTF">2026-07-17T11:44:08Z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eyJoZGlkIjoiNzQzNzIxNGU5ZmRmMjVjMmFmMTcwZTk1MDM1NDQ1YTkiLCJ1c2VySWQiOiIxNzI0NjgyNzU0In0=</vt:lpwstr>
  </property>
  <property fmtid="{D5CDD505-2E9C-101B-9397-08002B2CF9AE}" pid="3" name="KSOProductBuildVer">
    <vt:lpwstr>2052-12.1.0.21541</vt:lpwstr>
  </property>
  <property fmtid="{D5CDD505-2E9C-101B-9397-08002B2CF9AE}" pid="4" name="ICV">
    <vt:lpwstr>EA3B4113648E49B8BDE609BCBEF56E9D_12</vt:lpwstr>
  </property>
</Properties>
</file>