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Reviewer Advice Lifetimes and Goal Preservation in Multi Turn Agents</w:t>
      </w:r>
    </w:p>
    <w:p>
      <w:pPr>
        <w:pStyle w:val="Subtitle"/>
      </w:pPr>
      <w:r>
        <w:rPr>
          <w:color w:val="000000"/>
        </w:rPr>
        <w:t>审阅建议的暴露期限如何影响多轮智能体的目标保持</w:t>
      </w:r>
    </w:p>
    <w:p>
      <w:pPr>
        <w:pStyle w:val="Metadata"/>
      </w:pPr>
      <w:r>
        <w:t>jiuxiyan  |  实验前研究稿  |  2026 年 10 月 7 日</w:t>
      </w:r>
    </w:p>
    <w:p>
      <w:pPr>
        <w:pStyle w:val="Heading1"/>
      </w:pPr>
      <w:r>
        <w:rPr>
          <w:color w:val="000000"/>
        </w:rPr>
        <w:t>Abstract</w:t>
      </w:r>
    </w:p>
    <w:p>
      <w:pPr/>
      <w:r>
        <w:t>External reviewers can improve an agent’s next action, yet their advice may remain active after the action it addresses has ended. We study whether the continuing applicability of reviewer advice changes the preservation of previously achieved, still-required goals in an unfinished tool workflow. Our proposed experiment fixes a reviewer proposal, the controller-executed action, its factual result, and the first exposed continuation segment. The primary contrast retains the exact reviewer packet but either uses a neutral matched header or marks its action-local scope consumed after a predeclared public completion condition. No-packet and one-exposure baselines test whether any benefit instead comes from information removal. Original task requirements, factual receipts, native dialogue, and immutable audit records remain available. Hidden predicates are used only for offline evaluation of immediate preservation, transient regression, terminal unresolved loss, and official task completion. We distinguish all-proposal effects under a fixed checkpoint distribution from episode-start task utility and report oracle-conditioned strata only as diagnostics. Existing artifacts establish bounded restoration and receipt-rendering behavior using scripted read-only fixtures; no model-generated evidence or effectiveness result is available. The intended contribution is an empirical characterization of when reviewer advice should remain applicable, rather than a new memory architecture or causal estimator. Gains explained by generic context pruning, privileged filtering, or lower task completion would not support the stronger scope claim.</w:t>
      </w:r>
    </w:p>
    <w:p>
      <w:pPr>
        <w:pStyle w:val="Heading1"/>
      </w:pPr>
      <w:r>
        <w:rPr>
          <w:color w:val="000000"/>
        </w:rPr>
        <w:t>中文摘要</w:t>
      </w:r>
    </w:p>
    <w:p>
      <w:pPr/>
      <w:r>
        <w:t>本文研究审阅者建议的目标动作已经执行之后，继续把这条建议作为当前指导，会如何影响尚未完成任务中的既有成果。拟议实验固定审阅输出、控制器执行的动作、真实结果和第一次呈现建议后的共同延续。主要比较保留原文且状态不变，与保留同一原文但在预定公开完成条件满足后标记动作范围已消耗；另以完全不呈现及仅一次呈现为基线，检验收益是否来自信息删减。原任务要求、真实回执、原生对话和审计记录始终保留。隐藏目标只用于离线测量即时保持、暂时回退、终局未恢复丢失及完整任务完成。本文区分固定检查点分布上的全部建议效应、私有标签条件子群与从任务起点运行的部署效用。当前仅有脚本化只读恢复和回执验证，没有模型实验。研究价值取决于能否发现稳定且超出普通上下文管理的适用范围效应，而非期限机制本身的新颖性。</w:t>
      </w:r>
    </w:p>
    <w:p>
      <w:pPr>
        <w:pStyle w:val="Heading1"/>
      </w:pPr>
      <w:r>
        <w:rPr>
          <w:color w:val="000000"/>
        </w:rPr>
        <w:t>1 引言</w:t>
      </w:r>
    </w:p>
    <w:p>
      <w:pPr/>
      <w:r>
        <w:t>多轮工具智能体的工作往往由相互依赖的阶段组成。修复移动数据连接之后，智能体还需要排查速度问题；更正订单信息之后，还需要完成后续服务。在这类流程中，完成一个子目标并不意味着任务已经结束。已经实现的状态可能在之后的操作中被破坏，而最终是否成功取决于智能体能否在推进剩余工作的同时保住仍然必要的成果。给智能体增加审阅者看似提供了第二道检查，但审阅建议本身也会改变它之后看到的信息和采取行动的依据。</w:t>
      </w:r>
    </w:p>
    <w:p>
      <w:pPr/>
      <w:r>
        <w:t>现有研究已表明，错误批评能够让智能体破坏正确成果，识别失败并不必然带来有效干预，审阅反馈在工具调用任务中也可能同时产生帮助和伤害 [1,10,11]。因此，本文不以“审阅者有时有害”作为新发现。我们关注一个更窄的干预设计问题：一条有明确目标动作的建议，何时应该停止以指令形式影响后续决策？当审阅者要求“先查询某条线路，再继续诊断”时，查询结束后的真实结果应被保留；与已完成动作绑定的催促、假设或修订方向，却未必应该在之后每次模型调用中继续被强调。把建议作为永久上下文保留，是一种可干预的控制器选择，而不是审阅机制不可分割的属性。</w:t>
      </w:r>
    </w:p>
    <w:p>
      <w:pPr/>
      <w:r>
        <w:t>本文的核心假设是，部分迟发性回退可能来自建议的适用范围与其实际暴露期限不一致。这里的“迟发”具有严格含义：建议通过既定公开格式检查，目标动作实际执行后并未立即破坏受保护目标，之后的多轮延续才出现未被恢复的目标丢失。这个现象可能由动作改变了可见信息、反馈改变了注意重点、预算被额外调用消耗，或者用户模拟器的后续反应引起。单看最后成功率，无法区分这些路径；只检验建议动作是否合法，也不能说明之后的任务仍然可靠。</w:t>
      </w:r>
    </w:p>
    <w:p>
      <w:pPr/>
      <w:r>
        <w:t>为检验这一假设，我们把建议的适用状态作为主实验处理，把整包暴露期限作为必要基线。控制器将不可变原始建议、真实执行记录和模型可见投影分开保存。首次后续决策都可见相同建议与回执；从下一执行者请求起，主处理保留完整建议原文，但仅在公开完成条件成立时将其标记为已完成动作的历史指导。持续呈现、一次呈现和无包呈现用于检验信息删除的作用。这个设计不擦除模型已产生的影响，也不读取隐藏目标以判断建议是否应关闭。</w:t>
      </w:r>
    </w:p>
    <w:p>
      <w:pPr/>
      <w:r>
        <w:t>实验设计围绕可比性展开。在同一个真实生成的检查点，先记录原始待执行动作和一次审阅输出，再冻结这些对象。替换动作分支和反馈分支执行同一个建议动作，接收同一个公开工具结果，但使用不同的建议呈现策略。主分析覆盖所有预先登记的尝试，包括不合法建议、未改变动作的建议和工具报错。离线的即时目标保持条件只定义补充分析人群，不决定运行时是否采用建议。最终报告同时考虑目标保持和完整任务完成，避免把“少做事所以少出错”解释为有效方法。</w:t>
      </w:r>
    </w:p>
    <w:p>
      <w:pPr/>
      <w:r>
        <w:t>本文拟验证的贡献有三项。第一，给出动作级建议暴露期限这一可独立操纵的研究对象，检验它与长期目标保持之间的关系。第二，在不读取隐藏评测信息的条件下，以等动作、等回执及同原文状态标记检验适用范围，再用整包删除检验替代解释。第三，设计从全部建议抽样到局部通过分层、从首次回退到终局未恢复丢失的完整评估协议。这些目前都是待完成的实证目标，期限管理、状态恢复和上下文消融本身均有先例；若相同效果可由一般上下文删减解释，或只在脚本构造的少量检查点出现，则应收缩甚至放弃方法贡献。</w:t>
      </w:r>
    </w:p>
    <w:p>
      <w:pPr>
        <w:pStyle w:val="Heading1"/>
      </w:pPr>
      <w:r>
        <w:rPr>
          <w:color w:val="000000"/>
        </w:rPr>
        <w:t>2 相关工作与贡献边界</w:t>
      </w:r>
    </w:p>
    <w:p>
      <w:pPr>
        <w:pStyle w:val="Heading2"/>
      </w:pPr>
      <w:r>
        <w:rPr>
          <w:color w:val="000000"/>
        </w:rPr>
        <w:t>2.1 批评和干预本身的风险</w:t>
      </w:r>
    </w:p>
    <w:p>
      <w:pPr/>
      <w:r>
        <w:t>CAVE-Bench 从已正确的环境状态和保留的交互历史出发，注入指责性反馈，测量后续损坏并研究控制器防护 [11]。Intervention Paradox 区分失败预测与干预收益，分析扰动和恢复，还比较相同控制动作下可见警告与静默执行 [10]。Reinforced Agent 不仅在单轮工具调用中分析帮助和伤害，其多轮 τ² 实验也讨论审阅引起的负面变化 [1]。因此，“审阅有时有害”“动作不变时反馈会影响后续”以及“保护正确成果”均不是本文可以独占的主张。</w:t>
      </w:r>
    </w:p>
    <w:p>
      <w:pPr/>
      <w:r>
        <w:t>本文拟研究的窄问题是：审阅者推荐的动作已经由控制器执行后，建议包的持续呈现是否仍有价值，以及这如何影响仍未完成任务中的既有成果。自然生成建议不等于正确建议；工具成功也不等于修复成功。若要声称“原本有益的建议在完成使命后变得有害”，还需由独立标注和行为证据确认其初始用途，不能只靠格式检查。</w:t>
      </w:r>
    </w:p>
    <w:p>
      <w:pPr>
        <w:pStyle w:val="Heading2"/>
      </w:pPr>
      <w:r>
        <w:rPr>
          <w:color w:val="000000"/>
        </w:rPr>
        <w:t>2.2 反馈生命周期和上下文治理</w:t>
      </w:r>
    </w:p>
    <w:p>
      <w:pPr/>
      <w:r>
        <w:t>Self-Refine 与 Reflexion 建立了反馈修订和语言记忆的基本路径 [18,19]。Closing the Feedback Loop 已研究保留证据而停用过时规则 [12]；Authorization Closure Graph 区分证据与可消费的执行权限 [14]；Concord 对失效的源观察进行刷新、标注或抑制 [15]。这些工作使“给反馈加范围”“已消费即失效”“事实保留而规则关闭”都不足以成为独立的新方法主张。本文区分事实变旧与建议动作结束：原事实可以继续正确，动作级建议却不一定应被重复呈现；这一差异是否重要，需要实证支持。</w:t>
      </w:r>
    </w:p>
    <w:p>
      <w:pPr/>
      <w:r>
        <w:t>AgentSentry 在固定前缀和运行状态下做上下文干预，并将带指令的内容净化为不可执行证据 [16]。Plans Don’t Persist 使用固定动作观察历史、移除计划的配对诊断 [13]。本文不能把相同状态的文本消融或证据保留称为原创。相较这些工作，拟议实验在非攻击性审阅建议的目标动作结束后自由续写，观察环境目标的终局保持；但若效果可由普通删减、措辞或位置变化复现，这个区别不足以支持更强机制解释。</w:t>
      </w:r>
    </w:p>
    <w:p>
      <w:pPr>
        <w:pStyle w:val="Heading2"/>
      </w:pPr>
      <w:r>
        <w:rPr>
          <w:color w:val="000000"/>
        </w:rPr>
        <w:t>2.3 验证 过程评价与工作流保持</w:t>
      </w:r>
    </w:p>
    <w:p>
      <w:pPr/>
      <w:r>
        <w:t>SEVRA 研究预算约束下的选择性验证和修订风险，SAVeR 研究证据审计与受约束修复 [2,3]。前者需要学习门控，因此不能直接作为严格不训练方案的实现；两者提示必须同时衡量修复收益、错误翻转与成本。AgentProcessBench 关注步骤级过程质量，PolicyGuide 用持续状态和策略工作流管理跨步骤约束 [4,5]。When “Must” Becomes “Maybe” 进一步研究已正确识别的阻断条件如何在交接中弱化 [17]。本文的保持端点应提供超出一般过程错误、约束遵循和任务成功率的额外决策价值。</w:t>
      </w:r>
    </w:p>
    <w:p>
      <w:pPr/>
      <w:r>
        <w:t>How Do Agent Harnesses Create Value 区分计划信息、完成正确性、放行验收和成本 [6]。CVT-RL 与 Counterfactual Rollout Replay 已使用冻结策略延续、可恢复分支和反事实回报比较 [7,8]；Risk-Aware Intrinsic Self-Correction 已将有益修复与有害翻转分开 [9]。因此，恢复分支、成败转移分解和风险差是现成方法工具，不是本文的新估计理论。我们将这些工具用于建议暴露期限及环境目标保持这一特定实验对象。</w:t>
      </w:r>
    </w:p>
    <w:p>
      <w:pPr>
        <w:pStyle w:val="Heading2"/>
      </w:pPr>
      <w:r>
        <w:rPr>
          <w:color w:val="000000"/>
        </w:rPr>
        <w:t>2.4 多轮环境与已有实现的范围</w:t>
      </w:r>
    </w:p>
    <w:p>
      <w:pPr/>
      <w:r>
        <w:t>τ²-bench 提供用户参与的双控制工具环境 [20]。当前工程使用官方仓库后续的 τ³ Telecom 代码、tau2 包命名空间和固定提交 4ce7c0397c1eb65c9bbe59aeacfe1ca44a1cd699 [21]，不能把其所有功能归入早期 τ² 论文。选择该环境是因为工具状态、用户交互和最终任务标准能够分别记录，而不是因为一个基准天然保证广泛外部有效性。</w:t>
      </w:r>
    </w:p>
    <w:p>
      <w:pPr/>
      <w:r>
        <w:t>当前工程证据只涉及极窄的脚本化只读干预、回执表达与恢复。它能降低错误分支或来源伪造造成的混淆，却不能证明自然轨迹中存在足够多的目标回退。后续应先回答自然检查点是否有覆盖，再决定扩大任务与模型组合；不能以工程完成度代替科学问题的重要性。</w:t>
      </w:r>
    </w:p>
    <w:p>
      <w:pPr>
        <w:pStyle w:val="Heading1"/>
      </w:pPr>
      <w:r>
        <w:rPr>
          <w:color w:val="000000"/>
        </w:rPr>
        <w:t>3 问题定义和待检验假设</w:t>
      </w:r>
    </w:p>
    <w:p>
      <w:pPr>
        <w:pStyle w:val="Heading2"/>
      </w:pPr>
      <w:r>
        <w:rPr>
          <w:color w:val="000000"/>
        </w:rPr>
        <w:t>3.1 检查点与公开信息</w:t>
      </w:r>
    </w:p>
    <w:p>
      <w:pPr/>
      <w:r>
        <w:t xml:space="preserve">一次任务在时刻 t 的完整环境状态记为 </w:t>
      </w:r>
      <w:r>
        <w:t>s</w:t>
      </w:r>
      <w:r>
        <w:rPr>
          <w:vertAlign w:val="subscript"/>
        </w:rPr>
        <w:t>t</w:t>
      </w:r>
      <w:r>
        <w:t xml:space="preserve">，公开交互历史记为 </w:t>
      </w:r>
      <w:r>
        <w:t>h</w:t>
      </w:r>
      <w:r>
        <w:rPr>
          <w:vertAlign w:val="subscript"/>
        </w:rPr>
        <w:t>t</w:t>
      </w:r>
      <w:r>
        <w:t xml:space="preserve">，模型可用的工具模式记为 T。检查点 x 包含可复现分支所需的环境、历史、路由、预算和随机状态。部署策略只能使用公开投影 </w:t>
      </w:r>
      <w:r>
        <w:t>o</w:t>
      </w:r>
      <w:r>
        <w:rPr>
          <w:vertAlign w:val="subscript"/>
        </w:rPr>
        <w:t>t</w:t>
      </w:r>
      <w:r>
        <w:t xml:space="preserve"> = O(</w:t>
      </w:r>
      <w:r>
        <w:t>h</w:t>
      </w:r>
      <w:r>
        <w:rPr>
          <w:vertAlign w:val="subscript"/>
        </w:rPr>
        <w:t>t</w:t>
      </w:r>
      <w:r>
        <w:t>, T)，不能读取离线评测谓词、私有数据库标签、任务答案或未来轨迹。检查点恢复权限属于实验基础设施，不意味着这些内容可进入模型请求。</w:t>
      </w:r>
    </w:p>
    <w:p>
      <w:pPr/>
      <w:r>
        <w:t>在分支开始前，执行者已经提出一个尚未执行的动作 a₀。审阅者看到公开投影和标记为“尚未执行提案”的 a₀，一次性生成建议 q，其中包括建议动作 a₁ 和反馈包 m。现有协议由控制器选择并执行 a₁，执行者随后才看到反馈；因此研究对象是控制器采用建议后的呈现方式，不能冒称执行者先读批评再自主接受改正。a₀、q 及它们的来源元数据随后冻结，不因某一分支成败而重新生成。公开门控只检查角色、工具名、调用数量和参数模式等事先公布的要求。格式不合法或超出范围的提案进入预定回退路径；一个格式合法却被工具拒绝的调用仍是实际错误结果，不能改记为格式问题。</w:t>
      </w:r>
    </w:p>
    <w:p>
      <w:pPr>
        <w:pStyle w:val="Heading2"/>
      </w:pPr>
      <w:r>
        <w:rPr>
          <w:color w:val="000000"/>
        </w:rPr>
        <w:t>3.2 原已达成且仍然有效的目标</w:t>
      </w:r>
    </w:p>
    <w:p>
      <w:pPr/>
      <w:r>
        <w:t xml:space="preserve">任务的隐藏评价目标集合记为 G。对每个目标 g，离线谓词 </w:t>
      </w:r>
      <w:r>
        <w:t>φ</w:t>
      </w:r>
      <w:r>
        <w:rPr>
          <w:vertAlign w:val="subscript"/>
        </w:rPr>
        <w:t>g</w:t>
      </w:r>
      <w:r>
        <w:t xml:space="preserve">(s) 表示该状态是否满足目标。受保护集合 G⁺(x) 在干预前确定：它只包含在本次任务此前某个已观测状态为假、在 </w:t>
      </w:r>
      <w:r>
        <w:t>s</w:t>
      </w:r>
      <w:r>
        <w:rPr>
          <w:vertAlign w:val="subscript"/>
        </w:rPr>
        <w:t>t</w:t>
      </w:r>
      <w:r>
        <w:t xml:space="preserve"> 已为真、且根据冻结任务要求直到任务结束仍必须满足的目标。任务一开始就为真的性质另列为“初始状态保持”，不与本次推进取得的成果混合。主评估先限制于要求不随分支改变的任务；若任务允许用户合法撤销目标，必须预先定义外生撤销规则，并另行分析。不能事后因为一个分支失败而把对应目标改成“不再需要”。</w:t>
      </w:r>
    </w:p>
    <w:p>
      <w:pPr>
        <w:pStyle w:val="Equation"/>
      </w:pPr>
      <w:r>
        <w:t xml:space="preserve">G⁺(x) = { g ∈ G : </w:t>
      </w:r>
      <w:r>
        <w:t>φ</w:t>
      </w:r>
      <w:r>
        <w:rPr>
          <w:vertAlign w:val="subscript"/>
        </w:rPr>
        <w:t>g</w:t>
      </w:r>
      <w:r>
        <w:t>(</w:t>
      </w:r>
      <w:r>
        <w:t>s</w:t>
      </w:r>
      <w:r>
        <w:rPr>
          <w:vertAlign w:val="subscript"/>
        </w:rPr>
        <w:t>t</w:t>
      </w:r>
      <w:r>
        <w:t xml:space="preserve">) = 1，存在 u &lt; t 使 </w:t>
      </w:r>
      <w:r>
        <w:t>φ</w:t>
      </w:r>
      <w:r>
        <w:rPr>
          <w:vertAlign w:val="subscript"/>
        </w:rPr>
        <w:t>g</w:t>
      </w:r>
      <w:r>
        <w:t>(</w:t>
      </w:r>
      <w:r>
        <w:t>s</w:t>
      </w:r>
      <w:r>
        <w:rPr>
          <w:vertAlign w:val="subscript"/>
        </w:rPr>
        <w:t>u</w:t>
      </w:r>
      <w:r>
        <w:t>) = 0，且 g 持续有效 }</w:t>
      </w:r>
    </w:p>
    <w:p>
      <w:pPr/>
      <w:r>
        <w:t>至少一个已达成目标和一个尚未完成目标，是研究中间状态保持问题的入选条件。该条件使用私有评价信息时，得到的是离线研究子群，而非可直接部署的在线触发器。真实部署的调用时机必须由公开信号决定，例如在某类工具动作前触发审阅；实验另报告公开触发全集中具有该目标结构的比例。每个计分谓词还需事先映射到具有公开授权来源的语义要求、可观察依据和时间范围；隐藏阈值不能因它参与评分就被写进提示。存在争议的映射单列分析，并始终保留官方完整任务评价。</w:t>
      </w:r>
    </w:p>
    <w:p>
      <w:pPr>
        <w:pStyle w:val="Heading2"/>
      </w:pPr>
      <w:r>
        <w:rPr>
          <w:color w:val="000000"/>
        </w:rPr>
        <w:t>3.3 终局丢失与暂时回退</w:t>
      </w:r>
    </w:p>
    <w:p>
      <w:pPr/>
      <w:r>
        <w:t xml:space="preserve">对于建议呈现策略 z，令 </w:t>
      </w:r>
      <w:r>
        <w:t>S</w:t>
      </w:r>
      <w:r>
        <w:rPr>
          <w:vertAlign w:val="subscript"/>
        </w:rPr>
        <w:t>T</w:t>
      </w:r>
      <w:r>
        <w:t>(z) 为执行预算与原生终止规则下的最终状态。主要保持指标 L(z) 表示至少一个受保护目标在终局未满足。我们称它为“终局未恢复丢失”，而非不可逆损坏：在更长预算下是否能够修复，不由当前实验推断。首次从满足变为不满足称为回退；之后又恢复则计入修复，不计入终局丢失。对“任何时候都不得违反”的持续不变量，暂时违反已经是失败，须另设指标；最终状态要求允许必要的暂时重启，不能把所有中间降低都认作损害。</w:t>
      </w:r>
    </w:p>
    <w:p>
      <w:pPr>
        <w:pStyle w:val="Equation"/>
      </w:pPr>
      <w:r/>
      <w:r>
        <w:t>L</w:t>
      </w:r>
      <w:r>
        <w:rPr>
          <w:vertAlign w:val="subscript"/>
        </w:rPr>
        <w:t>x</w:t>
      </w:r>
      <w:r>
        <w:t>(z) = 1{ 存在 g ∈ G⁺(x)，</w:t>
      </w:r>
      <w:r>
        <w:t>φ</w:t>
      </w:r>
      <w:r>
        <w:rPr>
          <w:vertAlign w:val="subscript"/>
        </w:rPr>
        <w:t>g</w:t>
      </w:r>
      <w:r>
        <w:t>(</w:t>
      </w:r>
      <w:r>
        <w:t>S</w:t>
      </w:r>
      <w:r>
        <w:rPr>
          <w:vertAlign w:val="subscript"/>
        </w:rPr>
        <w:t>T</w:t>
      </w:r>
      <w:r>
        <w:t>(z)) = 0 }</w:t>
      </w:r>
    </w:p>
    <w:p>
      <w:pPr>
        <w:pStyle w:val="Equation"/>
      </w:pPr>
      <w:r/>
      <w:r>
        <w:t>U</w:t>
      </w:r>
      <w:r>
        <w:rPr>
          <w:vertAlign w:val="subscript"/>
        </w:rPr>
        <w:t>x</w:t>
      </w:r>
      <w:r>
        <w:t xml:space="preserve">(z) = |G⁺(x)|⁻¹ Σ[g ∈ G⁺(x)] 1{ </w:t>
      </w:r>
      <w:r>
        <w:t>φ</w:t>
      </w:r>
      <w:r>
        <w:rPr>
          <w:vertAlign w:val="subscript"/>
        </w:rPr>
        <w:t>g</w:t>
      </w:r>
      <w:r>
        <w:t>(</w:t>
      </w:r>
      <w:r>
        <w:t>S</w:t>
      </w:r>
      <w:r>
        <w:rPr>
          <w:vertAlign w:val="subscript"/>
        </w:rPr>
        <w:t>T</w:t>
      </w:r>
      <w:r>
        <w:t>(z)) = 0 }</w:t>
      </w:r>
    </w:p>
    <w:p>
      <w:pPr/>
      <w:r>
        <w:t>L 表示任务级是否丢失任何成果；U 只在 G⁺ 非空时定义，为受保护目标丢失比例，空集合时记为不适用而非做除零运算。辅助指标包括首次回退时间、观察到的失效状态占比、最终修复率，以及官方完整任务成功 Y。终止预算耗尽保留为真实任务结果；不能只在成功结束的轨迹上比较保持率。若基础设施故障使终局缺失，则记为不可评价并单独报告覆盖率，不伪装成目标保持或任务失败。</w:t>
      </w:r>
    </w:p>
    <w:p>
      <w:pPr/>
      <w:r>
        <w:t>“局部通过”需进一步区分公开可执行性、工具运行结果和即时目标保持。另可预先定义“局部修复”标签：a₀ 存在一个可由公开证据判定的具体缺陷，a₁ 修复该缺陷，由不知分支结局的标注者核验。这不同于格式合法、工具成功或 V⁺；未经这层证据，只能称建议动作被采用，不能称有效纠错。</w:t>
      </w:r>
      <w:r>
        <w:t>V</w:t>
      </w:r>
      <w:r>
        <w:rPr>
          <w:vertAlign w:val="subscript"/>
        </w:rPr>
        <w:t>pub</w:t>
      </w:r>
      <w:r>
        <w:t>(q, x) 是公开格式与范围检查；E(q, x) 是工具实际是否报错；V⁺(q, x) 是在隔离副本执行 a₁ 后受保护目标仍为真的离线标签。这三者不是同义词。只读工具在已验证状态维度上本来就不应改变目标谓词，因此 READ 子研究中的即时保持主要用于保证可比性，不能单独充当关于审阅安全性的发现。</w:t>
      </w:r>
    </w:p>
    <w:p>
      <w:pPr>
        <w:pStyle w:val="Heading2"/>
      </w:pPr>
      <w:r>
        <w:rPr>
          <w:color w:val="000000"/>
        </w:rPr>
        <w:t>3.4 假设和竞争解释</w:t>
      </w:r>
    </w:p>
    <w:p>
      <w:pPr/>
      <w:r>
        <w:t>H1 是现象假设：在自然生成、公开触发的合格检查点上，持续反馈与仅动作回执相比，会改变终局未恢复丢失风险，其方向和大小需由数据估计。H2 是方法假设：保留原文但关闭已履行动作范围能够降低该风险，并在预先设定的任务完成容忍界限内保持 Y。R 的整包一次呈现是单独的暴露管理假设。H3 是较强机制假设：同原文仅改变适用状态也产生效果，且动作已结束与仍需持续指导的案例表现不同。仅删除整个包的结果不足以识别这项机制。</w:t>
      </w:r>
    </w:p>
    <w:p>
      <w:pPr/>
      <w:r>
        <w:t>这些假设相互独立。H1 成立不代表 H2 成立；H2 成立而 H3 不成立时，结论应是一个有效的上下文呈现经验，而不是已识别的作用范围机制。如果仅在错误批评或极少数人工构造案例中出现差异，也不能把结果概括为自然审阅的普遍规律。我们不预设持续反馈一定更差，也不将零效果视为需要更换指标的理由。</w:t>
      </w:r>
    </w:p>
    <w:p>
      <w:pPr>
        <w:pStyle w:val="Heading1"/>
      </w:pPr>
      <w:r>
        <w:rPr>
          <w:color w:val="000000"/>
        </w:rPr>
        <w:t>4 方法 比较建议的暴露期限</w:t>
      </w:r>
    </w:p>
    <w:p>
      <w:pPr>
        <w:pStyle w:val="Heading2"/>
      </w:pPr>
      <w:r>
        <w:rPr>
          <w:color w:val="000000"/>
        </w:rPr>
        <w:t>4.1 原始记录与可见投影分离</w:t>
      </w:r>
    </w:p>
    <w:p>
      <w:pPr/>
      <w:r>
        <w:t>方法保留三个不同对象。第一类是不可变的观察记录，包括执行者原提案、审阅者原输出及其真实调用元数据。第二类是控制器决定，记录采用哪个动作、对应哪个原提案。第三类是给后续执行者的请求投影，记录它实际看到的事实回执和反馈。投影的变化不能反向改写原始输出，也不能把控制器选择包装成执行者曾经生成的动作。这种来源分离是实验的必要条件，并非新的记忆架构。</w:t>
      </w:r>
    </w:p>
    <w:p>
      <w:pPr/>
      <w:r>
        <w:t>事实回执明确列出原提案、处置方式、实际动作及真实工具返回或错误。被取消的 a₀ 不再表现为悬而未决的原生工具调用，也不给它编造成功或取消响应。回执保留真实执行证据，但不把审阅者的推断当作已验证事实。把回执放入系统角色仍可能改变模型行为，必须使用原生表达对照测量，不能仅凭信息真实就认为没有装置效应。</w:t>
      </w:r>
    </w:p>
    <w:p>
      <w:pPr>
        <w:pStyle w:val="Heading2"/>
      </w:pPr>
      <w:r>
        <w:rPr>
          <w:color w:val="000000"/>
        </w:rPr>
        <w:t>4.2 无呈现 一次呈现与持续呈现</w:t>
      </w:r>
    </w:p>
    <w:p>
      <w:pPr/>
      <w:r>
        <w:t>A 策略只给执行者事实回执，不呈现原始审阅包 m。R 策略在动作返回后的首次执行者请求中呈现完整 m，此后每个执行者请求都不再由控制器附带 m。拟议 P 策略在首次及以后所有执行者请求中持续保留同一个 m，并使用统一中性状态头。现有冻结适配器直接持续呈现原包的分支另记 P₀；P₀/P 测量新增包装的扰动，不能假定旧代码已验证新 P。这些臂采用同一个建议动作及其实际结果，使用相同工具目录和原生预算规则。R 首次使用与 P 相同的包及中性头，此后同时停止附带包与其专用包装；公共调用状态仍保留在独立事实回执中。A 从不附带该包和包装，P₀ 只保留原包，新 P 同时保留原包与中性头。</w:t>
      </w:r>
    </w:p>
    <w:p>
      <w:pPr/>
      <w:r>
        <w:t>这里的“动作结束”由公开工具返回或错误事件确定，不是隐藏目标达成。工具报错也结束了本次调用，但未必解决问题。R 删除的是整个审阅包，里面可能同时包含指令、推断、解释和有用提醒；本文不声称能准确拆开这些成分。真实工具回执、已有执行者与用户文本、原任务要求和不可变审计日志全部保留。因此 R 改变的是未来请求中的额外暴露，而不是擦除已产生的模型影响或重置记忆。</w:t>
      </w:r>
    </w:p>
    <w:p>
      <w:pPr>
        <w:pStyle w:val="Heading2"/>
      </w:pPr>
      <w:r>
        <w:rPr>
          <w:color w:val="000000"/>
        </w:rPr>
        <w:t>4.3 同原文的适用状态主处理</w:t>
      </w:r>
    </w:p>
    <w:p>
      <w:pPr/>
      <w:r>
        <w:t>主实验在采样前冻结一个动作级审阅契约，所有臂的审阅者使用同一契约。q 声明目标 action_id、只针对该待执行调用的建议范围和来自预定义集合的公开关闭条件；不得在同一包内混入新的用户要求或永久规则。最小支持条件是：建议明确要求执行这一条调用，且该调用返回正常结果。它只表示这一条调用要求已经履行，不表示问题修复、建议正确或隐藏目标达成。提示契约不能保证生成的散文真正遵守范围：语义越界由不知结局的审计记录，仍按冻结公开字段、回退及状态规则留在全部抽样分析中，不事后剔除。混合范围扩展使用另行声明的接口和样本，不能把主实验中不方便的输出悄悄移过去。</w:t>
      </w:r>
    </w:p>
    <w:p>
      <w:pPr/>
      <w:r>
        <w:t>C 策略与 P、R 共享首次呈现及其后至下一执行者边界的共同段。此后 C 仍在相同角色和位置保留完全相同的包原文，只在公开关闭条件确实成立时，将固定状态头改为“目标调用要求已履行，原建议保留作历史参考”。若调用失败、条件未满足或不能从公开信息判断，使用与 P 完全相同的中性状态头。P 使用中性状态头，C 使用范围已完成状态头；两者的角色、位置、目标长度、公开调用状态事实及任何原目标提醒完全对齐，差别仅是预定状态语义。P₀/P 校准新增包装效应。C/P 是预先选定的主要状态头策略对比，R/P 是整包暴露期限对比，不在看到结果后互换主次。C 具有一个有效执行者响应的宽限期：即使完成条件在工具返回时已成立，也到第二个执行者请求才改状态头。结果只能识别这个包装策略的总效应，不能证明模型内部权威感被直接操纵。已完成与未完成、不同建议范围的子群差异也不是完成状态本身的随机因果效应；随机可比对象仍是固定子群内的状态头政策。</w:t>
      </w:r>
    </w:p>
    <w:p>
      <w:pPr/>
      <w:r>
        <w:t>用户原有的持续约束从不随审阅包关闭。真正包含跨步骤条件和任务级持续指导的建议进入独立扩展实验：使用事先声明的范围与公开关闭事件，未关闭的部分应继续有效；盲于结局的人工标注检查声明是否可信。该扩展必须包含持续提醒仍然有用的负对照，衡量错误关闭的代价。若拆分或范围推断需要额外模型调用，另计成本并冻结方法版本，不能用隐藏目标或最终成败反推建议范围。</w:t>
      </w:r>
    </w:p>
    <w:p>
      <w:pPr>
        <w:pStyle w:val="Heading2"/>
      </w:pPr>
      <w:r>
        <w:rPr>
          <w:color w:val="000000"/>
        </w:rPr>
        <w:t>4.4 可执行协议</w:t>
      </w:r>
    </w:p>
    <w:p>
      <w:pPr>
        <w:pStyle w:val="Step"/>
      </w:pPr>
      <w:r>
        <w:t>1. 在预定公开触发点捕获尚未执行的 a₀；审阅者只读公开历史与完整工具模式。</w:t>
      </w:r>
    </w:p>
    <w:p>
      <w:pPr>
        <w:pStyle w:val="Step"/>
      </w:pPr>
      <w:r>
        <w:t>2. 一次生成并冻结 q = (a₁, m)；保存完整原输出，按公开范围判定采用或预定回退。</w:t>
      </w:r>
    </w:p>
    <w:p>
      <w:pPr>
        <w:pStyle w:val="Step"/>
      </w:pPr>
      <w:r>
        <w:t>3. 执行被采用的动作一次，保存真实结果或错误；不把影子评估结果输入任何在线组件。</w:t>
      </w:r>
    </w:p>
    <w:p>
      <w:pPr>
        <w:pStyle w:val="Step"/>
      </w:pPr>
      <w:r>
        <w:t>4. 生成统一的来源真实回执，再按 A、R、P、C 的规则构建首次执行者请求。</w:t>
      </w:r>
    </w:p>
    <w:p>
      <w:pPr>
        <w:pStyle w:val="Step"/>
      </w:pPr>
      <w:r>
        <w:t>5. 在每个预定重复中，对 P、R、C 共同的首次暴露前缀采样一次；若任务尚未终止，在下一执行者请求边界恢复对应独立副本，再按各自规则续写。</w:t>
      </w:r>
    </w:p>
    <w:p>
      <w:pPr>
        <w:pStyle w:val="Step"/>
      </w:pPr>
      <w:r>
        <w:t>6. 保留原生用户及执行者历史、任务要求、工具目录和原生终止规则；逐次记录真实提供方请求及去重调用成本。</w:t>
      </w:r>
    </w:p>
    <w:p>
      <w:pPr/>
      <w:r>
        <w:t>相同首段共享是因为 P/R/C 在这一段的策略完全一致，不是从一个已经分叉的分支抄取未来结果。首段可能包含执行者产生的动作、用户反应及工具状态变化；它们全部进入新的分叉检查点。首段就结束的任务在这些臂具有相同结局并保留在统计中，不因没有机会过期而被剔除。分叉后的执行者和用户续写独立生成。</w:t>
      </w:r>
    </w:p>
    <w:p>
      <w:pPr>
        <w:pStyle w:val="Heading2"/>
      </w:pPr>
      <w:r>
        <w:rPr>
          <w:color w:val="000000"/>
        </w:rPr>
        <w:t>4.5 范围与成本</w:t>
      </w:r>
    </w:p>
    <w:p>
      <w:pPr/>
      <w:r>
        <w:t>该策略无需训练，可作为固定模型 API 前的请求构造层。它不保证建议正确，不阻止后续有害动作，也不保证每个目标始终为真。一次呈现只是一个简单可检验策略，固定步数过期、纯状态标记和按公开事件管理条件都应作为比较对象，而不是预先指定它最优。</w:t>
      </w:r>
    </w:p>
    <w:p>
      <w:pPr/>
      <w:r>
        <w:t>R 仅在首次有效执行者响应返回后标记已暴露；网络失败重试不重复抽取 q，也不重新授予一次有效暴露。重启必须恢复这个状态。真实用户模拟器继续使用其原有合法指令，不能接收控制器回执、私有评测标签或来自其他分支的未来发言。</w:t>
      </w:r>
    </w:p>
    <w:p>
      <w:pPr/>
      <w:r>
        <w:t>实验物理费用与部署逻辑费用分开：实验共享 q 和首段只付一次，但它们属于每个真正采用审阅策略的部署成本；B 或 S 不承担实验为了比较而额外生成的审阅输出费用。</w:t>
      </w:r>
    </w:p>
    <w:p>
      <w:pPr/>
      <w:r>
        <w:t>费用以真实提供方调用记录去重汇总，包括原提案、审阅、共享首段、各臂续写、用户模拟、重试和重复发送的历史 token。主对照固定剩余原生步骤与错误预算，同时报告实际 token、时间和费用；更短上下文不自动意味着同等总资源。现有 TEST_UNITS 是逻辑记账夹具，没有真实 token、美元或节省比例的含义。</w:t>
      </w:r>
    </w:p>
    <w:p>
      <w:pPr>
        <w:keepNext/>
        <w:spacing w:line="240" w:lineRule="auto" w:after="60"/>
      </w:pPr>
      <w:r>
        <w:drawing>
          <wp:inline xmlns:a="http://schemas.openxmlformats.org/drawingml/2006/main" xmlns:pic="http://schemas.openxmlformats.org/drawingml/2006/picture">
            <wp:extent cx="6373368" cy="3943521"/>
            <wp:docPr id="1" name="Picture 1" descr="Proposed experiment with shared reviewer action, persistent and consumed-status packet projections, and an evaluator-only goal scoring boundary. No empirical outcomes shown."/>
            <wp:cNvGraphicFramePr>
              <a:graphicFrameLocks noChangeAspect="1"/>
            </wp:cNvGraphicFramePr>
            <a:graphic>
              <a:graphicData uri="http://schemas.openxmlformats.org/drawingml/2006/picture">
                <pic:pic>
                  <pic:nvPicPr>
                    <pic:cNvPr id="0" name="reviewer_advice_overview.png"/>
                    <pic:cNvPicPr/>
                  </pic:nvPicPr>
                  <pic:blipFill>
                    <a:blip r:embed="rId10"/>
                    <a:stretch>
                      <a:fillRect/>
                    </a:stretch>
                  </pic:blipFill>
                  <pic:spPr>
                    <a:xfrm>
                      <a:off x="0" y="0"/>
                      <a:ext cx="6373368" cy="3943521"/>
                    </a:xfrm>
                    <a:prstGeom prst="rect"/>
                  </pic:spPr>
                </pic:pic>
              </a:graphicData>
            </a:graphic>
          </wp:inline>
        </w:drawing>
      </w:r>
    </w:p>
    <w:p>
      <w:pPr>
        <w:pStyle w:val="Caption"/>
      </w:pPr>
      <w:r>
        <w:t>图 1 拟议实验总览。左侧固定前缀、一次审阅输出和实际执行结果；中间比较后续请求中原包及状态头的呈现，C/P 为主要对比，P/R/C 共享首次暴露段；右侧的隐藏谓词只负责离线评价，路径仅示意 V⁺ 子群，非实验观察；图中省略无效或超范围建议的预定回退。目标标签不进入任何在线组件。新 P、R、C 和模型续写均待实现与验证，现有适配器只证明部分 B、A、P₀ 的脚本回执与恢复契约。</w:t>
      </w:r>
    </w:p>
    <w:p>
      <w:pPr>
        <w:pStyle w:val="Heading1"/>
      </w:pPr>
      <w:r>
        <w:rPr>
          <w:color w:val="000000"/>
        </w:rPr>
        <w:t>5 因果对照与估计目标</w:t>
      </w:r>
    </w:p>
    <w:p>
      <w:pPr>
        <w:pStyle w:val="Heading2"/>
      </w:pPr>
      <w:r>
        <w:rPr>
          <w:color w:val="000000"/>
        </w:rPr>
        <w:t>5.1 分支设计</w:t>
      </w:r>
    </w:p>
    <w:p>
      <w:pPr/>
      <w:r>
        <w:t>每个实验单元是预先确定的任务、自然检查点、原始提案和单次审阅输出的组合。各策略从同一个完整检查点开始；P/R/C 共享策略完全相同的首次暴露前缀，再在开始不同呈现的边界独立恢复。分叉之后执行者与用户续写各自重新生成。不能复用脚本后缀，也不能把策略已经不同的某分支未来用户发言喂给另一个分支。环境的随机性和模型的随机性分别记录，提供方 seed 不被假定为完全确定。</w:t>
      </w:r>
    </w:p>
    <w:p>
      <w:pPr>
        <w:pStyle w:val="Caption"/>
        <w:keepNext/>
      </w:pPr>
      <w:r>
        <w:t>表 1 预定比较分支与当前实现的关系</w:t>
      </w:r>
    </w:p>
    <w:tbl>
      <w:tblPr>
        <w:tblW w:type="auto" w:w="0"/>
        <w:jc w:val="center"/>
        <w:tblLayout w:type="fixed"/>
        <w:tblLook w:firstColumn="1" w:firstRow="1" w:lastColumn="0" w:lastRow="0" w:noHBand="0" w:noVBand="1" w:val="04A0"/>
      </w:tblPr>
      <w:tblGrid>
        <w:gridCol w:w="1094"/>
        <w:gridCol w:w="1123"/>
        <w:gridCol w:w="3974"/>
        <w:gridCol w:w="3859"/>
      </w:tblGrid>
      <w:tr>
        <w:trPr>
          <w:cantSplit/>
          <w:tblHeader/>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DFE8F2"/>
          </w:tcPr>
          <w:p>
            <w:pPr>
              <w:keepNext w:val="0"/>
              <w:spacing w:after="0" w:line="260" w:lineRule="exact"/>
              <w:jc w:val="center"/>
            </w:pPr>
            <w:r>
              <w:rPr>
                <w:rFonts w:ascii="Times New Roman" w:hAnsi="Times New Roman" w:eastAsia="Noto Serif CJK SC"/>
                <w:b/>
                <w:color w:val="000000"/>
                <w:sz w:val="18"/>
              </w:rPr>
              <w:t>分支</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DFE8F2"/>
          </w:tcPr>
          <w:p>
            <w:pPr>
              <w:keepNext w:val="0"/>
              <w:spacing w:after="0" w:line="260" w:lineRule="exact"/>
            </w:pPr>
            <w:r>
              <w:rPr>
                <w:rFonts w:ascii="Times New Roman" w:hAnsi="Times New Roman" w:eastAsia="Noto Serif CJK SC"/>
                <w:b/>
                <w:color w:val="000000"/>
                <w:sz w:val="18"/>
              </w:rPr>
              <w:t>执行动作</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DFE8F2"/>
          </w:tcPr>
          <w:p>
            <w:pPr>
              <w:keepNext w:val="0"/>
              <w:spacing w:after="0" w:line="260" w:lineRule="exact"/>
            </w:pPr>
            <w:r>
              <w:rPr>
                <w:rFonts w:ascii="Times New Roman" w:hAnsi="Times New Roman" w:eastAsia="Noto Serif CJK SC"/>
                <w:b/>
                <w:color w:val="000000"/>
                <w:sz w:val="18"/>
              </w:rPr>
              <w:t>建议呈现</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DFE8F2"/>
          </w:tcPr>
          <w:p>
            <w:pPr>
              <w:keepNext w:val="0"/>
              <w:spacing w:after="0" w:line="260" w:lineRule="exact"/>
            </w:pPr>
            <w:r>
              <w:rPr>
                <w:rFonts w:ascii="Times New Roman" w:hAnsi="Times New Roman" w:eastAsia="Noto Serif CJK SC"/>
                <w:b/>
                <w:color w:val="000000"/>
                <w:sz w:val="18"/>
              </w:rPr>
              <w:t>目的与状态</w:t>
            </w:r>
          </w:p>
        </w:tc>
      </w:tr>
      <w:tr>
        <w:trPr>
          <w:cantSplit/>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jc w:val="center"/>
            </w:pPr>
            <w:r>
              <w:rPr>
                <w:rFonts w:ascii="Times New Roman" w:hAnsi="Times New Roman" w:eastAsia="Noto Serif CJK SC"/>
                <w:b w:val="0"/>
                <w:color w:val="000000"/>
                <w:sz w:val="18"/>
              </w:rPr>
              <w:t>B_native</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a₀</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无回执 无审阅包</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原生消息基线</w:t>
            </w:r>
          </w:p>
        </w:tc>
      </w:tr>
      <w:tr>
        <w:trPr>
          <w:cantSplit/>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jc w:val="center"/>
            </w:pPr>
            <w:r>
              <w:rPr>
                <w:rFonts w:ascii="Times New Roman" w:hAnsi="Times New Roman" w:eastAsia="Noto Serif CJK SC"/>
                <w:b w:val="0"/>
                <w:color w:val="000000"/>
                <w:sz w:val="18"/>
              </w:rPr>
              <w:t>B</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a₀</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仅真实控制器回执</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测量回执装置效应</w:t>
            </w:r>
          </w:p>
        </w:tc>
      </w:tr>
      <w:tr>
        <w:trPr>
          <w:cantSplit/>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jc w:val="center"/>
            </w:pPr>
            <w:r>
              <w:rPr>
                <w:rFonts w:ascii="Times New Roman" w:hAnsi="Times New Roman" w:eastAsia="Noto Serif CJK SC"/>
                <w:b w:val="0"/>
                <w:color w:val="000000"/>
                <w:sz w:val="18"/>
              </w:rPr>
              <w:t>S</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自我重考虑</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按预定自我修订协议</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额外思考对照；真实生成待实现</w:t>
            </w:r>
          </w:p>
        </w:tc>
      </w:tr>
      <w:tr>
        <w:trPr>
          <w:cantSplit/>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jc w:val="center"/>
            </w:pPr>
            <w:r>
              <w:rPr>
                <w:rFonts w:ascii="Times New Roman" w:hAnsi="Times New Roman" w:eastAsia="Noto Serif CJK SC"/>
                <w:b w:val="0"/>
                <w:color w:val="000000"/>
                <w:sz w:val="18"/>
              </w:rPr>
              <w:t>A</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a₁</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只有事实回执</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不呈现原始审阅包</w:t>
            </w:r>
          </w:p>
        </w:tc>
      </w:tr>
      <w:tr>
        <w:trPr>
          <w:cantSplit/>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jc w:val="center"/>
            </w:pPr>
            <w:r>
              <w:rPr>
                <w:rFonts w:ascii="Times New Roman" w:hAnsi="Times New Roman" w:eastAsia="Noto Serif CJK SC"/>
                <w:b w:val="0"/>
                <w:color w:val="000000"/>
                <w:sz w:val="18"/>
              </w:rPr>
              <w:t>P₀</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a₁</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每次保留原始包</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对应冻结适配器的脚本 P</w:t>
            </w:r>
          </w:p>
        </w:tc>
      </w:tr>
      <w:tr>
        <w:trPr>
          <w:cantSplit/>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jc w:val="center"/>
            </w:pPr>
            <w:r>
              <w:rPr>
                <w:rFonts w:ascii="Times New Roman" w:hAnsi="Times New Roman" w:eastAsia="Noto Serif CJK SC"/>
                <w:b w:val="0"/>
                <w:color w:val="000000"/>
                <w:sz w:val="18"/>
              </w:rPr>
              <w:t>P</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a₁</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每次保留包和中性头</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主比较基线；包装版本待实现</w:t>
            </w:r>
          </w:p>
        </w:tc>
      </w:tr>
      <w:tr>
        <w:trPr>
          <w:cantSplit/>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jc w:val="center"/>
            </w:pPr>
            <w:r>
              <w:rPr>
                <w:rFonts w:ascii="Times New Roman" w:hAnsi="Times New Roman" w:eastAsia="Noto Serif CJK SC"/>
                <w:b w:val="0"/>
                <w:color w:val="000000"/>
                <w:sz w:val="18"/>
              </w:rPr>
              <w:t>C</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a₁</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首次同 P；随后按公开条件变更状态头</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主处理；原包文本保留</w:t>
            </w:r>
          </w:p>
        </w:tc>
      </w:tr>
      <w:tr>
        <w:trPr>
          <w:cantSplit/>
        </w:trPr>
        <w:tc>
          <w:tcPr>
            <w:tcW w:type="dxa" w:w="109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jc w:val="center"/>
            </w:pPr>
            <w:r>
              <w:rPr>
                <w:rFonts w:ascii="Times New Roman" w:hAnsi="Times New Roman" w:eastAsia="Noto Serif CJK SC"/>
                <w:b w:val="0"/>
                <w:color w:val="000000"/>
                <w:sz w:val="18"/>
              </w:rPr>
              <w:t>R</w:t>
            </w:r>
          </w:p>
        </w:tc>
        <w:tc>
          <w:tcPr>
            <w:tcW w:type="dxa" w:w="1123"/>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a₁</w:t>
            </w:r>
          </w:p>
        </w:tc>
        <w:tc>
          <w:tcPr>
            <w:tcW w:type="dxa" w:w="3974"/>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首次同 P；随后不再附带整个包</w:t>
            </w:r>
          </w:p>
        </w:tc>
        <w:tc>
          <w:tcPr>
            <w:tcW w:type="dxa" w:w="3859"/>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一次呈现基线；可丢失有用信息</w:t>
            </w:r>
          </w:p>
        </w:tc>
      </w:tr>
    </w:tbl>
    <w:p>
      <w:pPr>
        <w:spacing w:after="0"/>
      </w:pPr>
    </w:p>
    <w:p>
      <w:pPr/>
      <w:r/>
      <w:r>
        <w:t>B</w:t>
      </w:r>
      <w:r>
        <w:rPr>
          <w:vertAlign w:val="subscript"/>
        </w:rPr>
        <w:t>native</w:t>
      </w:r>
      <w:r>
        <w:t xml:space="preserve"> 与 B 使用同一个原动作，但前者保留原生消息表达，后者采用事实回执表达。它们的差异用于检测测量装置本身的扰动。A 与 P₀ 固定相同 a₁、已记录审阅输出和事实回执，仅改变原包是否呈现。新 P 还含预定中性头，故 P/A 是包加包装的整体差异。P/R/C 在第一次后续请求中呈现相同包，从下一执行者边界开始分叉；C 仅在公开关闭条件成立时改变状态头。P 的持续呈现是同一记录在每次请求中可见，不是在官方轨迹不断追加重复消息，也不代表所有生产系统的默认实现。S 是同预算自我重考虑对照，不能用“另一轮模型思考”解释所有外部审阅差异。</w:t>
      </w:r>
    </w:p>
    <w:p>
      <w:pPr>
        <w:pStyle w:val="Heading2"/>
      </w:pPr>
      <w:r>
        <w:rPr>
          <w:color w:val="000000"/>
        </w:rPr>
        <w:t>5.2 固定检查点分布上的全部抽样效应</w:t>
      </w:r>
    </w:p>
    <w:p>
      <w:pPr/>
      <w:r>
        <w:t xml:space="preserve">首先冻结不受待比较策略影响的参考执行者和公开触发规则，得到检查点分布 </w:t>
      </w:r>
      <w:r>
        <w:t>D</w:t>
      </w:r>
      <w:r>
        <w:rPr>
          <w:vertAlign w:val="subscript"/>
        </w:rPr>
        <w:t>ref</w:t>
      </w:r>
      <w:r>
        <w:t xml:space="preserve">。对该分布上的每个根状态只抽一次 q，比较完整续写规则 C 与 P。主要风险差 </w:t>
      </w:r>
      <w:r>
        <w:t>Δ</w:t>
      </w:r>
      <w:r>
        <w:rPr>
          <w:vertAlign w:val="subscript"/>
        </w:rPr>
        <w:t>root</w:t>
      </w:r>
      <w:r>
        <w:t xml:space="preserve"> 为正时，说明 C 在这一参考根状态分布上降低终局丢失；同时估计 </w:t>
      </w:r>
      <w:r>
        <w:t>ΔY</w:t>
      </w:r>
      <w:r>
        <w:rPr>
          <w:vertAlign w:val="subscript"/>
        </w:rPr>
        <w:t>root</w:t>
      </w:r>
      <w:r>
        <w:t xml:space="preserve"> = E[Y(C) − Y(P)]。对于 G⁺ 为空的根，L 定义为 0，但必须单列其比例与目标结构子群结果，避免结构性零值稀释风险。</w:t>
      </w:r>
    </w:p>
    <w:p>
      <w:pPr>
        <w:pStyle w:val="Equation"/>
      </w:pPr>
      <w:r/>
      <w:r>
        <w:t>Δ</w:t>
      </w:r>
      <w:r>
        <w:rPr>
          <w:vertAlign w:val="subscript"/>
        </w:rPr>
        <w:t>root</w:t>
      </w:r>
      <w:r>
        <w:t xml:space="preserve"> = </w:t>
      </w:r>
      <w:r>
        <w:t>E</w:t>
      </w:r>
      <w:r>
        <w:rPr>
          <w:vertAlign w:val="subscript"/>
        </w:rPr>
        <w:t>Dref,q,ω</w:t>
      </w:r>
      <w:r>
        <w:t>[</w:t>
      </w:r>
      <w:r>
        <w:t>L</w:t>
      </w:r>
      <w:r>
        <w:rPr>
          <w:vertAlign w:val="subscript"/>
        </w:rPr>
        <w:t>x</w:t>
      </w:r>
      <w:r>
        <w:t xml:space="preserve">(P) − </w:t>
      </w:r>
      <w:r>
        <w:t>L</w:t>
      </w:r>
      <w:r>
        <w:rPr>
          <w:vertAlign w:val="subscript"/>
        </w:rPr>
        <w:t>x</w:t>
      </w:r>
      <w:r>
        <w:t xml:space="preserve">(C)] ;    </w:t>
      </w:r>
      <w:r>
        <w:t>ΔY</w:t>
      </w:r>
      <w:r>
        <w:rPr>
          <w:vertAlign w:val="subscript"/>
        </w:rPr>
        <w:t>root</w:t>
      </w:r>
      <w:r>
        <w:t xml:space="preserve"> = </w:t>
      </w:r>
      <w:r>
        <w:t>E</w:t>
      </w:r>
      <w:r>
        <w:rPr>
          <w:vertAlign w:val="subscript"/>
        </w:rPr>
        <w:t>Dref,q,ω</w:t>
      </w:r>
      <w:r>
        <w:t>[</w:t>
      </w:r>
      <w:r>
        <w:t>Y</w:t>
      </w:r>
      <w:r>
        <w:rPr>
          <w:vertAlign w:val="subscript"/>
        </w:rPr>
        <w:t>x</w:t>
      </w:r>
      <w:r>
        <w:t xml:space="preserve">(C) − </w:t>
      </w:r>
      <w:r>
        <w:t>Y</w:t>
      </w:r>
      <w:r>
        <w:rPr>
          <w:vertAlign w:val="subscript"/>
        </w:rPr>
        <w:t>x</w:t>
      </w:r>
      <w:r>
        <w:t>(P)]</w:t>
      </w:r>
    </w:p>
    <w:p>
      <w:pPr/>
      <w:r>
        <w:t xml:space="preserve">期望对参考根状态、一次审阅抽样 q 及共同段和后缀的随机性 ω 取平均。这里包括全部原始建议、公开格式回退、原生预算和工具错误。无效、超范围、不改变动作的 q 都进入抽样账本，不能重新生成直到可用。不改变动作却含反馈仍可能在不同状态策略下产生差异。格式无效时遵循相同回退，已发生的审阅成本保留。R/P、A/P 等作为预定次要对比，所有结果都注明同一 </w:t>
      </w:r>
      <w:r>
        <w:t>D</w:t>
      </w:r>
      <w:r>
        <w:rPr>
          <w:vertAlign w:val="subscript"/>
        </w:rPr>
        <w:t>ref</w:t>
      </w:r>
      <w:r>
        <w:t xml:space="preserve"> 及其覆盖。</w:t>
      </w:r>
    </w:p>
    <w:p>
      <w:pPr/>
      <w:r/>
      <w:r>
        <w:t>Δ</w:t>
      </w:r>
      <w:r>
        <w:rPr>
          <w:vertAlign w:val="subscript"/>
        </w:rPr>
        <w:t>root</w:t>
      </w:r>
      <w:r>
        <w:t xml:space="preserve"> 不是从任务起点运行的端到端部署效用。后者在同一初始任务分布下，按公开触发规则和预定总资源上限运行策略，以 J(z) = E[Y(z)] 表示官方完成效用，报告 ΔJ = J(C) − J(P)，同时报告成本和触发覆盖。当前方案每任务只允许一个干预槽位；多次审阅涉及多个包的冲突、状态和预算，需要单独实现，不能由单根效应相加推断。</w:t>
      </w:r>
    </w:p>
    <w:p>
      <w:pPr/>
      <w:r>
        <w:t>端到端“曾达成后又丢失”的事件可作补充描述，但各策略曾达成的目标集合可能不同，属于处理影响后的集合。必须同时报告达成比例和终局丢失，不把这类差值称为针对相同目标集合的保持效应。隐藏标签筛选的根状态结果既不能替代 J，也不能证明公开触发系统整体有用。全部建议分析中的 L 包括即时破坏及其恢复，只有 V⁺ 分层才支持“迟发性丢失”的解释。</w:t>
      </w:r>
    </w:p>
    <w:p>
      <w:pPr>
        <w:pStyle w:val="Heading2"/>
      </w:pPr>
      <w:r>
        <w:rPr>
          <w:color w:val="000000"/>
        </w:rPr>
        <w:t>5.3 固定建议的诊断对比</w:t>
      </w:r>
    </w:p>
    <w:p>
      <w:pPr/>
      <w:r>
        <w:t>离线分析还关心建议实际改变动作、公开门控通过且即时保持成立的共同分层 Ω。Ω 由同一 x 和冻结 q 的隔离影子执行预先定义，不能由最终成功、某分支的未来轨迹或是否出现回退定义。在该分层中，</w:t>
      </w:r>
      <w:r>
        <w:t>Δ</w:t>
      </w:r>
      <w:r>
        <w:rPr>
          <w:vertAlign w:val="subscript"/>
        </w:rPr>
        <w:t>P₀A</w:t>
      </w:r>
      <w:r>
        <w:t xml:space="preserve"> = E[L(P₀) − L(A) | Ω] 描述原始持续反馈包的受控影响，</w:t>
      </w:r>
      <w:r>
        <w:t>Δ</w:t>
      </w:r>
      <w:r>
        <w:rPr>
          <w:vertAlign w:val="subscript"/>
        </w:rPr>
        <w:t>PC</w:t>
      </w:r>
      <w:r>
        <w:t xml:space="preserve"> = E[L(P) − L(C) | Ω] 描述适用状态差异，</w:t>
      </w:r>
      <w:r>
        <w:t>Δ</w:t>
      </w:r>
      <w:r>
        <w:rPr>
          <w:vertAlign w:val="subscript"/>
        </w:rPr>
        <w:t>PR</w:t>
      </w:r>
      <w:r>
        <w:t xml:space="preserve"> 描述持续与一次呈现的差异，</w:t>
      </w:r>
      <w:r>
        <w:t>Δ</w:t>
      </w:r>
      <w:r>
        <w:rPr>
          <w:vertAlign w:val="subscript"/>
        </w:rPr>
        <w:t>AB</w:t>
      </w:r>
      <w:r>
        <w:t xml:space="preserve"> = E[L(A) − L(B) | Ω] 描述动作替换加上其信息结果的影响。</w:t>
      </w:r>
    </w:p>
    <w:p>
      <w:pPr>
        <w:pStyle w:val="Equation"/>
      </w:pPr>
      <w:r>
        <w:t xml:space="preserve">Ω = { |G⁺(x)| &gt; 0, </w:t>
      </w:r>
      <w:r>
        <w:t>V</w:t>
      </w:r>
      <w:r>
        <w:rPr>
          <w:vertAlign w:val="subscript"/>
        </w:rPr>
        <w:t>pub</w:t>
      </w:r>
      <w:r>
        <w:t xml:space="preserve"> = 1, a₁ ≠ a₀, E = 无错误, V⁺ = 1 }</w:t>
      </w:r>
    </w:p>
    <w:p>
      <w:pPr>
        <w:pStyle w:val="Equation"/>
      </w:pPr>
      <w:r/>
      <w:r>
        <w:t>Δ</w:t>
      </w:r>
      <w:r>
        <w:rPr>
          <w:vertAlign w:val="subscript"/>
        </w:rPr>
        <w:t>PC</w:t>
      </w:r>
      <w:r>
        <w:t xml:space="preserve"> = E[L(P) − L(C) | Ω] ;    </w:t>
      </w:r>
      <w:r>
        <w:t>Δ</w:t>
      </w:r>
      <w:r>
        <w:rPr>
          <w:vertAlign w:val="subscript"/>
        </w:rPr>
        <w:t>P₀A</w:t>
      </w:r>
      <w:r>
        <w:t xml:space="preserve"> = E[L(P₀) − L(A) | Ω]</w:t>
      </w:r>
    </w:p>
    <w:p>
      <w:pPr/>
      <w:r>
        <w:t xml:space="preserve">这些量只适用于选定的根状态与建议分布。Ω 需要隐藏目标标签，因此不能作为在线准入门槛，也不能用其条件收益代替 </w:t>
      </w:r>
      <w:r>
        <w:t>Δ</w:t>
      </w:r>
      <w:r>
        <w:rPr>
          <w:vertAlign w:val="subscript"/>
        </w:rPr>
        <w:t>root</w:t>
      </w:r>
      <w:r>
        <w:t xml:space="preserve"> 或端到端 J。即使 A/P₀ 的首个动作和返回完全一致，后续历史也会因反馈发生改变；P 与 C、R 比较的是请求投影政策的整体效应，不是严格意义上的自然直接效应、间接效应或内部认知机制。动作替换也同时改变了信息内容，所以 </w:t>
      </w:r>
      <w:r>
        <w:t>Δ</w:t>
      </w:r>
      <w:r>
        <w:rPr>
          <w:vertAlign w:val="subscript"/>
        </w:rPr>
        <w:t>AB</w:t>
      </w:r>
      <w:r>
        <w:t xml:space="preserve"> 不应被命名为“纯动作效应”。</w:t>
      </w:r>
    </w:p>
    <w:p>
      <w:pPr>
        <w:pStyle w:val="Heading2"/>
      </w:pPr>
      <w:r>
        <w:rPr>
          <w:color w:val="000000"/>
        </w:rPr>
        <w:t>5.4 随机重复和依赖结构</w:t>
      </w:r>
    </w:p>
    <w:p>
      <w:pPr/>
      <w:r>
        <w:t>对任务 i 的若干自然检查点 j，先按预定次数 k 独立采样 P/R/C 共有的首次暴露段，再在每个可分叉段内按预定次数 r 采样各臂独立后缀。只共享一次首段再无限重复后缀，只能估计条件于该首段的风险，不能代替对整个策略的平均。先在检查点内对 k 与 r 的嵌套结构估计各策略终局风险，再在任务内平均，最后对任务等权平均，避免容易生成大量检查点的任务支配结论。检查点和多次续写不能当成彼此独立的任务样本。主要区间估计按任务重采样，并在完整区组中保留共同首段、分支与后缀重复的依赖关系；相近模板与故障变体按任务家族做敏感性聚合。样本过少时给出逐任务结果，不以大量同根续写制造狭窄的总体区间。执行顺序按提供方时间区组随机交错，记录版本和采样配置，降低时间漂移与处理顺序混淆。</w:t>
      </w:r>
    </w:p>
    <w:p>
      <w:pPr>
        <w:pStyle w:val="Equation"/>
      </w:pPr>
      <w:r>
        <w:t>Δ̂ = (1/N) Σᵢ [(1/Kᵢ) Σⱼ (p̂ᵢⱼ,P − p̂ᵢⱼ,C)]</w:t>
      </w:r>
    </w:p>
    <w:p>
      <w:pPr/>
      <w:r>
        <w:t>随机种子相同只是一种耦合选择，不会让闭源 API 的两个未来轨迹成为真实个体反事实。因而主文报告风险差，而不把一次配对中的“B 成功、P 失败”直接统计为唯一客观的个体伤害率。若展示配对案例，必须说明其随机耦合和重复稳定性。任务失败不剔除；基础设施中断、无法恢复的状态和提供方异常分别编码，并给出不完整区组的敏感性界限。</w:t>
      </w:r>
    </w:p>
    <w:p>
      <w:pPr>
        <w:pStyle w:val="Heading1"/>
      </w:pPr>
      <w:r>
        <w:rPr>
          <w:color w:val="000000"/>
        </w:rPr>
        <w:t>6 实验计划</w:t>
      </w:r>
    </w:p>
    <w:p>
      <w:pPr>
        <w:pStyle w:val="Heading2"/>
      </w:pPr>
      <w:r>
        <w:rPr>
          <w:color w:val="000000"/>
        </w:rPr>
        <w:t>6.1 从可行性到确认性评估</w:t>
      </w:r>
    </w:p>
    <w:p>
      <w:pPr/>
      <w:r>
        <w:t>第一阶段只验证提供方格式与信息边界：确认事实回执在真实请求中如何映射、晚出现的系统消息是否被移动或合并、相同回执是否持续保留，以及输出与工具配对能否被准确审计。这一步只需要很小的已授权测试，不检验方法效果。只有通过后，第二阶段才用开发任务估计公开触发频率、自然目标结构比例、合法审阅建议比例、实际调用成本和终局丢失基率。</w:t>
      </w:r>
    </w:p>
    <w:p>
      <w:pPr/>
      <w:r>
        <w:t xml:space="preserve">第三阶段冻结模型版本、提示、任务划分、公开触发规则、期限规则、预算、主指标和停止条件，在未用于设计规则的任务上做以 C/P 为主的确认性比较。模型名称、调用额度和样本量在当前稿中不伪造填入；样本规模应由第二阶段的覆盖率、任务间变异和可承担费用确定，并以主要风险差的目标区间宽度为依据。确认性阶段不能因为某个中期差异好看而提前停止，也不能只扩大有利模型的样本。预先锁定最小有意义的保持收益 δ 和允许的完成损失 ε：只有预定主估计量 </w:t>
      </w:r>
      <w:r>
        <w:t>Δ</w:t>
      </w:r>
      <w:r>
        <w:rPr>
          <w:vertAlign w:val="subscript"/>
        </w:rPr>
        <w:t>root</w:t>
      </w:r>
      <w:r>
        <w:t xml:space="preserve"> 的置信下界超过 δ，同时 </w:t>
      </w:r>
      <w:r>
        <w:t>ΔY</w:t>
      </w:r>
      <w:r>
        <w:rPr>
          <w:vertAlign w:val="subscript"/>
        </w:rPr>
        <w:t>root</w:t>
      </w:r>
      <w:r>
        <w:t xml:space="preserve"> 的下界高于 −ε，才支持带效用约束的改进主张。若区间很宽，结论是不确定，不是两策略等效；确认性次要对比另设多重比较控制。</w:t>
      </w:r>
    </w:p>
    <w:p>
      <w:pPr>
        <w:pStyle w:val="Heading2"/>
      </w:pPr>
      <w:r>
        <w:rPr>
          <w:color w:val="000000"/>
        </w:rPr>
        <w:t>6.2 任务和检查点采样</w:t>
      </w:r>
    </w:p>
    <w:p>
      <w:pPr/>
      <w:r>
        <w:t>起点是官方 Telecom 多目标任务中自然产生的中间状态。每条完整轨迹按预定规则选取至多一个主要检查点，或以固定上限均匀抽取多个检查点，并记录被抽样概率。不得从一条失败轨迹倒查“最像故事”的位置作为主样本。公开触发总体、含已达成仍需保持目标的子群、改变动作且局部通过的子群应形成可核对的覆盖漏斗。</w:t>
      </w:r>
    </w:p>
    <w:p>
      <w:pPr/>
      <w:r>
        <w:t>主结果还需要从普通任务起点运行固定 P/C 策略，以检验诊断检查点上的差异是否转化为端到端收益。仅在隐藏谓词选出的根状态上有效，不足以证明公开触发系统有效。</w:t>
      </w:r>
    </w:p>
    <w:p>
      <w:pPr/>
      <w:r>
        <w:t>当前只有七个脚本候选任务的后端证据，两个已检查谓词分别对应基本连接与更优速度，且具有嵌套关系。它们不能代表独立、广泛的多目标结构。如果自然覆盖不足，应扩展具有明确可恢复状态和官方评价标准的任务类型；扩展需要新的快照与恢复验证，不能简单宣称现有适配器已支持任意写操作或领域。确认性实验还需检验不同模型能力和审阅者强度，但是否足以支持跨领域结论取决于实际覆盖。</w:t>
      </w:r>
    </w:p>
    <w:p>
      <w:pPr>
        <w:pStyle w:val="Heading2"/>
      </w:pPr>
      <w:r>
        <w:rPr>
          <w:color w:val="000000"/>
        </w:rPr>
        <w:t>6.3 必要基线与消融</w:t>
      </w:r>
    </w:p>
    <w:p>
      <w:pPr/>
      <w:r>
        <w:t xml:space="preserve">主比较固定为同原文的完成状态头 C 与匹配中性头 P。必要对照包括原始持续反馈 P₀、仅事实回执 A、一次呈现 R、原生 </w:t>
      </w:r>
      <w:r>
        <w:t>B</w:t>
      </w:r>
      <w:r>
        <w:rPr>
          <w:vertAlign w:val="subscript"/>
        </w:rPr>
        <w:t>native</w:t>
      </w:r>
      <w:r>
        <w:t xml:space="preserve"> 与仪器化 B，并用 P₀/P 校准包装。其后比较最近反馈保留、同 token 量的其他上下文删减、固定 TTL，以及不带行动指令的事实化改写。这些对照回答收益究竟来自范围管理、上下文缩短、语气变化还是重复强调的消失。各 a₁ 暴露与状态对照共享原始建议池和同一已执行动作；B/S 保留各自定义，避免把原动作对照误说成等动作比较。长度匹配以冻结提供方的分词结果核对，并保持角色与位置模板一致；若无法精确匹配，报告残余长度差，不能宣称信息量完全相等。</w:t>
      </w:r>
    </w:p>
    <w:p>
      <w:pPr/>
      <w:r>
        <w:t>还应比较不依赖隐藏标签的公开目标清单，以及通过正常工具或用户设备检查完成的终局复核，并计算其实际成本。用户侧检查必须经原有交互请求，不能由执行者冒用用户角色执行。仅在特权副本上运行的目标门控或短程 rollout 可作为离线参照，不能称为可部署基线。</w:t>
      </w:r>
    </w:p>
    <w:p>
      <w:pPr/>
      <w:r>
        <w:t>期限消融将关闭时点设为工具返回前、首次后续请求后和固定若干步后。过早关闭可能让执行者缺少解释，过晚关闭可能重现持续暴露。事实回执消融只用于离线研究中检验来源信息的重要性，不作为推荐部署配置；移除真实结果会改变信息可用性，需要单独解释。若条件保留版本被实现，再比较全部删除、机械关闭和保守保留，统计错误关闭率与永不关闭率。</w:t>
      </w:r>
    </w:p>
    <w:p>
      <w:pPr>
        <w:pStyle w:val="Heading2"/>
      </w:pPr>
      <w:r>
        <w:rPr>
          <w:color w:val="000000"/>
        </w:rPr>
        <w:t>6.4 结果应如何呈现</w:t>
      </w:r>
    </w:p>
    <w:p>
      <w:pPr/>
      <w:r>
        <w:t xml:space="preserve">主结果表分别报告任务宏平均 </w:t>
      </w:r>
      <w:r>
        <w:t>Δ</w:t>
      </w:r>
      <w:r>
        <w:rPr>
          <w:vertAlign w:val="subscript"/>
        </w:rPr>
        <w:t>root</w:t>
      </w:r>
      <w:r>
        <w:t>、</w:t>
      </w:r>
      <w:r>
        <w:t>ΔY</w:t>
      </w:r>
      <w:r>
        <w:rPr>
          <w:vertAlign w:val="subscript"/>
        </w:rPr>
        <w:t>root</w:t>
      </w:r>
      <w:r>
        <w:t xml:space="preserve">，以及端到端 J、ΔJ、调用成本与覆盖率，不用单一保持分数掩盖任务进展。另一张诊断表报告 Ω 中的 </w:t>
      </w:r>
      <w:r>
        <w:t>Δ</w:t>
      </w:r>
      <w:r>
        <w:rPr>
          <w:vertAlign w:val="subscript"/>
        </w:rPr>
        <w:t>PC</w:t>
      </w:r>
      <w:r>
        <w:t>、</w:t>
      </w:r>
      <w:r>
        <w:t>Δ</w:t>
      </w:r>
      <w:r>
        <w:rPr>
          <w:vertAlign w:val="subscript"/>
        </w:rPr>
        <w:t>PR</w:t>
      </w:r>
      <w:r>
        <w:t>、</w:t>
      </w:r>
      <w:r>
        <w:t>Δ</w:t>
      </w:r>
      <w:r>
        <w:rPr>
          <w:vertAlign w:val="subscript"/>
        </w:rPr>
        <w:t>P₀A</w:t>
      </w:r>
      <w:r>
        <w:t>、</w:t>
      </w:r>
      <w:r>
        <w:t>Δ</w:t>
      </w:r>
      <w:r>
        <w:rPr>
          <w:vertAlign w:val="subscript"/>
        </w:rPr>
        <w:t>AB</w:t>
      </w:r>
      <w:r>
        <w:t xml:space="preserve">，以及 </w:t>
      </w:r>
      <w:r>
        <w:t>B</w:t>
      </w:r>
      <w:r>
        <w:rPr>
          <w:vertAlign w:val="subscript"/>
        </w:rPr>
        <w:t>native</w:t>
      </w:r>
      <w:r>
        <w:t xml:space="preserve"> 与 B 的装置效应。曲线可展示在对齐的任务阶段和资源消耗下，受保护目标从达成、回退到恢复的分布；不可把不同分支的工具步编号误当同一个因果时刻。</w:t>
      </w:r>
    </w:p>
    <w:p>
      <w:pPr/>
      <w:r>
        <w:t>案例分析预先规定抽样方式，并同时展示支持与反例。每个案例应给出原始提案、原始审阅建议、公开工具结果、首次回退前的最小历史和最终评价依据。优先查看是否出现目标被重新打开、已完成动作被反复执行、前置条件被遗忘或剩余预算被耗尽。文本中出现某些措辞只能作为行为线索，不能据此断言模型内部注意力或推理过程的因果机制。</w:t>
      </w:r>
    </w:p>
    <w:p>
      <w:pPr>
        <w:pStyle w:val="Heading1"/>
      </w:pPr>
      <w:r>
        <w:rPr>
          <w:color w:val="000000"/>
        </w:rPr>
        <w:t>7 已实现内容与未验证边界</w:t>
      </w:r>
    </w:p>
    <w:p>
      <w:pPr/>
      <w:r>
        <w:t>本文已有三层工程材料。后端层在官方固定提交上实现窄范围脚本执行、检查点恢复和只读工具核验。干预层区分原始提案、审阅输出与控制器选择，并实现 B、S、A、P 的内部事件表示。回执适配层把真实执行结果投影为带来源的控制器回执，验证多个执行者边界的一致性。所有模型回应均为脚本夹具，不是模型采样。冻结 v0.1 对超范围建议采用计数后排除；本文拟议的全部建议规则改为继续预定回退，属于尚待另行实现的新协议，不能反向描述成已有行为。</w:t>
      </w:r>
    </w:p>
    <w:p>
      <w:pPr>
        <w:pStyle w:val="Caption"/>
        <w:keepNext/>
      </w:pPr>
      <w:r>
        <w:t>表 2 软件验证与科学证据的边界</w:t>
      </w:r>
    </w:p>
    <w:tbl>
      <w:tblPr>
        <w:tblW w:type="auto" w:w="0"/>
        <w:jc w:val="center"/>
        <w:tblLayout w:type="fixed"/>
        <w:tblLook w:firstColumn="1" w:firstRow="1" w:lastColumn="0" w:lastRow="0" w:noHBand="0" w:noVBand="1" w:val="04A0"/>
      </w:tblPr>
      <w:tblGrid>
        <w:gridCol w:w="1440"/>
        <w:gridCol w:w="3802"/>
        <w:gridCol w:w="4810"/>
      </w:tblGrid>
      <w:tr>
        <w:trPr>
          <w:cantSplit/>
          <w:tblHeader/>
        </w:trPr>
        <w:tc>
          <w:tcPr>
            <w:tcW w:type="dxa" w:w="144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DFE8F2"/>
          </w:tcPr>
          <w:p>
            <w:pPr>
              <w:keepNext w:val="0"/>
              <w:spacing w:after="0" w:line="260" w:lineRule="exact"/>
              <w:jc w:val="center"/>
            </w:pPr>
            <w:r>
              <w:rPr>
                <w:rFonts w:ascii="Times New Roman" w:hAnsi="Times New Roman" w:eastAsia="Noto Serif CJK SC"/>
                <w:b/>
                <w:color w:val="000000"/>
                <w:sz w:val="18"/>
              </w:rPr>
              <w:t>层级</w:t>
            </w:r>
          </w:p>
        </w:tc>
        <w:tc>
          <w:tcPr>
            <w:tcW w:type="dxa" w:w="3802"/>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DFE8F2"/>
          </w:tcPr>
          <w:p>
            <w:pPr>
              <w:keepNext w:val="0"/>
              <w:spacing w:after="0" w:line="260" w:lineRule="exact"/>
            </w:pPr>
            <w:r>
              <w:rPr>
                <w:rFonts w:ascii="Times New Roman" w:hAnsi="Times New Roman" w:eastAsia="Noto Serif CJK SC"/>
                <w:b/>
                <w:color w:val="000000"/>
                <w:sz w:val="18"/>
              </w:rPr>
              <w:t>已有验证</w:t>
            </w:r>
          </w:p>
        </w:tc>
        <w:tc>
          <w:tcPr>
            <w:tcW w:type="dxa" w:w="481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DFE8F2"/>
          </w:tcPr>
          <w:p>
            <w:pPr>
              <w:keepNext w:val="0"/>
              <w:spacing w:after="0" w:line="260" w:lineRule="exact"/>
            </w:pPr>
            <w:r>
              <w:rPr>
                <w:rFonts w:ascii="Times New Roman" w:hAnsi="Times New Roman" w:eastAsia="Noto Serif CJK SC"/>
                <w:b/>
                <w:color w:val="000000"/>
                <w:sz w:val="18"/>
              </w:rPr>
              <w:t>能支持的结论或限制</w:t>
            </w:r>
          </w:p>
        </w:tc>
      </w:tr>
      <w:tr>
        <w:trPr>
          <w:cantSplit/>
        </w:trPr>
        <w:tc>
          <w:tcPr>
            <w:tcW w:type="dxa" w:w="144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jc w:val="center"/>
            </w:pPr>
            <w:r>
              <w:rPr>
                <w:rFonts w:ascii="Times New Roman" w:hAnsi="Times New Roman" w:eastAsia="Noto Serif CJK SC"/>
                <w:b w:val="0"/>
                <w:color w:val="000000"/>
                <w:sz w:val="18"/>
              </w:rPr>
              <w:t>后端恢复</w:t>
            </w:r>
          </w:p>
        </w:tc>
        <w:tc>
          <w:tcPr>
            <w:tcW w:type="dxa" w:w="3802"/>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7 个脚本原运行见证；14 次独立进程恢复；42 个检查点工具对和 84 次 READ 转移</w:t>
            </w:r>
          </w:p>
        </w:tc>
        <w:tc>
          <w:tcPr>
            <w:tcW w:type="dxa" w:w="481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固定提交上的窄工具及状态恢复；非自然轨迹或效果样本</w:t>
            </w:r>
          </w:p>
        </w:tc>
      </w:tr>
      <w:tr>
        <w:trPr>
          <w:cantSplit/>
        </w:trPr>
        <w:tc>
          <w:tcPr>
            <w:tcW w:type="dxa" w:w="144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jc w:val="center"/>
            </w:pPr>
            <w:r>
              <w:rPr>
                <w:rFonts w:ascii="Times New Roman" w:hAnsi="Times New Roman" w:eastAsia="Noto Serif CJK SC"/>
                <w:b w:val="0"/>
                <w:color w:val="000000"/>
                <w:sz w:val="18"/>
              </w:rPr>
              <w:t>内部干预</w:t>
            </w:r>
          </w:p>
        </w:tc>
        <w:tc>
          <w:tcPr>
            <w:tcW w:type="dxa" w:w="3802"/>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36 项测试；B/S/A/P 的内部事件和逻辑记账</w:t>
            </w:r>
          </w:p>
        </w:tc>
        <w:tc>
          <w:tcPr>
            <w:tcW w:type="dxa" w:w="481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S 只验证预写的格式错误回退；没有实际自我修订</w:t>
            </w:r>
          </w:p>
        </w:tc>
      </w:tr>
      <w:tr>
        <w:trPr>
          <w:cantSplit/>
        </w:trPr>
        <w:tc>
          <w:tcPr>
            <w:tcW w:type="dxa" w:w="144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jc w:val="center"/>
            </w:pPr>
            <w:r>
              <w:rPr>
                <w:rFonts w:ascii="Times New Roman" w:hAnsi="Times New Roman" w:eastAsia="Noto Serif CJK SC"/>
                <w:b w:val="0"/>
                <w:color w:val="000000"/>
                <w:sz w:val="18"/>
              </w:rPr>
              <w:t>回执适配</w:t>
            </w:r>
          </w:p>
        </w:tc>
        <w:tc>
          <w:tcPr>
            <w:tcW w:type="dxa" w:w="3802"/>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37 项测试；6 次独立进程重启检查</w:t>
            </w:r>
          </w:p>
        </w:tc>
        <w:tc>
          <w:tcPr>
            <w:tcW w:type="dxa" w:w="481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FFFFF"/>
          </w:tcPr>
          <w:p>
            <w:pPr>
              <w:keepNext w:val="0"/>
              <w:spacing w:after="0" w:line="260" w:lineRule="exact"/>
            </w:pPr>
            <w:r>
              <w:rPr>
                <w:rFonts w:ascii="Times New Roman" w:hAnsi="Times New Roman" w:eastAsia="Noto Serif CJK SC"/>
                <w:b w:val="0"/>
                <w:color w:val="000000"/>
                <w:sz w:val="18"/>
              </w:rPr>
              <w:t>检查点 0 与两次脚本执行者边界；原包 P₀ 的呈现契约</w:t>
            </w:r>
          </w:p>
        </w:tc>
      </w:tr>
      <w:tr>
        <w:trPr>
          <w:cantSplit/>
        </w:trPr>
        <w:tc>
          <w:tcPr>
            <w:tcW w:type="dxa" w:w="144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jc w:val="center"/>
            </w:pPr>
            <w:r>
              <w:rPr>
                <w:rFonts w:ascii="Times New Roman" w:hAnsi="Times New Roman" w:eastAsia="Noto Serif CJK SC"/>
                <w:b w:val="0"/>
                <w:color w:val="000000"/>
                <w:sz w:val="18"/>
              </w:rPr>
              <w:t>本稿主方法</w:t>
            </w:r>
          </w:p>
        </w:tc>
        <w:tc>
          <w:tcPr>
            <w:tcW w:type="dxa" w:w="3802"/>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新 P、C、R、共同首段后的新检查点、真实续写</w:t>
            </w:r>
          </w:p>
        </w:tc>
        <w:tc>
          <w:tcPr>
            <w:tcW w:type="dxa" w:w="4810"/>
            <w:vAlign w:val="center"/>
            <w:tcMar>
              <w:top w:w="55" w:type="dxa"/>
              <w:left w:w="90" w:type="dxa"/>
              <w:bottom w:w="55" w:type="dxa"/>
              <w:right w:w="90" w:type="dxa"/>
            </w:tcMar>
            <w:tcBorders>
              <w:top w:val="single" w:sz="4" w:color="D9D9D9"/>
              <w:left w:val="single" w:sz="4" w:color="D9D9D9"/>
              <w:bottom w:val="single" w:sz="4" w:color="D9D9D9"/>
              <w:right w:val="single" w:sz="4" w:color="D9D9D9"/>
            </w:tcBorders>
            <w:shd w:fill="F6F8FA"/>
          </w:tcPr>
          <w:p>
            <w:pPr>
              <w:keepNext w:val="0"/>
              <w:spacing w:after="0" w:line="260" w:lineRule="exact"/>
            </w:pPr>
            <w:r>
              <w:rPr>
                <w:rFonts w:ascii="Times New Roman" w:hAnsi="Times New Roman" w:eastAsia="Noto Serif CJK SC"/>
                <w:b w:val="0"/>
                <w:color w:val="000000"/>
                <w:sz w:val="18"/>
              </w:rPr>
              <w:t>尚未实现或验证；不能从现有通过数推定可用</w:t>
            </w:r>
          </w:p>
        </w:tc>
      </w:tr>
    </w:tbl>
    <w:p>
      <w:pPr>
        <w:spacing w:after="0"/>
      </w:pPr>
    </w:p>
    <w:p>
      <w:pPr/>
      <w:r>
        <w:t>这些测试数是软件正确性证据，既不是实验样本量，也不是方法成功次数。脚本中出现的官方奖励只说明所写的后缀能够完成指定测试任务，不能放进模型性能结果表。当前代码中的真实提供方调用入口仍被硬性阻断；输入 API 配置不会自动获得运行权限。新 P 的中性包装、R 与 C 的呈现规则、自然审阅采样、真实模型和用户续写、多模型对照以及全部因果估计都仍待实现和验证。</w:t>
      </w:r>
    </w:p>
    <w:p>
      <w:pPr/>
      <w:r>
        <w:t>当前适配器只在检查点 0、一次文本型只读干预和已声明工具范围内得到验证。它对私有字段采用白名单投影，并以已知 canary 测试泄漏，但不能证明任意公开文本中不存在秘密。原生转换器接受某种消息对象，也不意味着具体提供方会以相同顺序和角色发送它。主稿的估计问题依赖真实请求中保留这些对照关系，因此提供方 wire 验证是科学有效性的前置条件。共享首次暴露后再次恢复的设计也超出了现有检查点 0 的证据，必须单独验证其完整状态和预算恢复。</w:t>
      </w:r>
    </w:p>
    <w:p>
      <w:pPr>
        <w:pStyle w:val="Heading1"/>
      </w:pPr>
      <w:r>
        <w:rPr>
          <w:color w:val="000000"/>
        </w:rPr>
        <w:t>8 风险与证伪标准</w:t>
      </w:r>
    </w:p>
    <w:p>
      <w:pPr/>
      <w:r>
        <w:t>第一项风险是研究问题与现有工作只存在措辞差异。如果 CAVE-Bench、干预扰动研究或已有反馈管理方法已经覆盖同类行动结束后的建议期限，并给出同样可比的控制，那么本文应作为复现和评估改进收缩定位，不能声称独立方法创新。参考文献检索只能降低遗漏风险，不能证明不存在相似工作。</w:t>
      </w:r>
    </w:p>
    <w:p>
      <w:pPr/>
      <w:r>
        <w:t>第二项风险是自然频率太低。若几乎没有同时满足目标结构和有效建议要求的检查点，人工构造可以帮助调试，却不足以支撑自然工作流中的重要性。必须报告完整覆盖漏斗；不能隐藏大部分提案被过滤的事实。若风险主要由外生用户变化或任务本身的不稳定性产生，需要用动作不变和无反馈分支加以区分。</w:t>
      </w:r>
    </w:p>
    <w:p>
      <w:pPr/>
      <w:r>
        <w:t>原建议包含有用事实推断时，删除整个包也删除其未来提示；这一混淆只能通过同原文 C 和内容对照减轻，不能声称已被事实回执完全解决。</w:t>
      </w:r>
    </w:p>
    <w:p>
      <w:pPr/>
      <w:r>
        <w:t xml:space="preserve">第三项风险是仪器化效应。当 B 与 </w:t>
      </w:r>
      <w:r>
        <w:t>B</w:t>
      </w:r>
      <w:r>
        <w:rPr>
          <w:vertAlign w:val="subscript"/>
        </w:rPr>
        <w:t>native</w:t>
      </w:r>
      <w:r>
        <w:t xml:space="preserve"> 的差异与拟声称的方法收益相当时，结论应限定为该回执协议下的效果，并优先修复请求表示，而不是把差异归因给审阅内容。第四项风险是谨慎策略导致进展停滞。C 或 R 降低 L 却明显降低 Y、延长完成时间或增加错误恢复成本，应视为权衡，不是无条件改进。</w:t>
      </w:r>
    </w:p>
    <w:p>
      <w:pPr/>
      <w:r>
        <w:t>第五项风险是选择与随机性。只分析局部通过或终局成功的分支会改变估计人群；只重复有趣案例会夸大稳定性。主分析保留全部抽样、冻结条件分层、按任务报告区间，并对不完整区组做界限分析。使用共同随机种子能减少某些方差，但不能消除提供方非确定性，更不能产生可直接观察的个体反事实。</w:t>
      </w:r>
    </w:p>
    <w:p>
      <w:pPr/>
      <w:r>
        <w:t>预先定义的否证条件包括：在足够精度下 C 相对 P 没有达到预定改善；同量一般删减或中性包装完全复现主处理收益；收益仅在隐藏标签筛选后出现；或完整任务成功跌出预设容忍范围。遇到这些结果应按具体证据得出“方法效应不足”“机制解释不足”“部署无收益”或“存在不可接受权衡”的结论，而不更换主指标挽救故事。P₀/A 的平均差为零不构成 C/P 的否证：删包可能同时失去有用信息和有害指令，两种作用抵消；同原文状态标记仍可能有效。</w:t>
      </w:r>
    </w:p>
    <w:p>
      <w:pPr>
        <w:pStyle w:val="Heading1"/>
      </w:pPr>
      <w:r>
        <w:rPr>
          <w:color w:val="000000"/>
        </w:rPr>
        <w:t>9 结论</w:t>
      </w:r>
    </w:p>
    <w:p>
      <w:pPr/>
      <w:r>
        <w:t>本文把审阅干预后的长期可靠性具体化为一个可以分离操纵的问题：针对某个动作的建议完成使命后，还应在后续模型请求中持续出现多久？我们以同原文的状态标记检验适用范围，并用整个审阅包的一次与持续呈现区分信息删除，同时保留真实动作证据和原有任务约束。固定建议、固定动作的分支实验衡量其对已达成目标保持和完整任务完成的影响。目前证据只支持窄范围工程可行性。研究价值取决于未来是否能在自然多轮轨迹、公开可部署规则和充分上下文对照下，获得稳定且不以任务进展为代价的改善。</w:t>
      </w:r>
    </w:p>
    <w:p>
      <w:pPr>
        <w:pStyle w:val="Heading1"/>
      </w:pPr>
      <w:r>
        <w:rPr>
          <w:color w:val="000000"/>
        </w:rPr>
        <w:t>附录 A 研究决策备忘</w:t>
      </w:r>
    </w:p>
    <w:p>
      <w:pPr>
        <w:pStyle w:val="Heading2"/>
      </w:pPr>
      <w:r>
        <w:rPr>
          <w:color w:val="000000"/>
        </w:rPr>
        <w:t>当前值得保留的核心问题</w:t>
      </w:r>
    </w:p>
    <w:p>
      <w:pPr/>
      <w:r>
        <w:t>建议继续研究“动作完成后，审阅建议的持续暴露是否仍有益”，把已达成目标的终局保持作为主要观察对象之一。它比笼统的“审阅者可能有害”更具体，也比再做一个目标清单更容易形成可检验的设计差异。候选题目准确描述问题，但不预先保证方法有效，也不暗示顶会接收。</w:t>
      </w:r>
    </w:p>
    <w:p>
      <w:pPr>
        <w:pStyle w:val="Heading2"/>
      </w:pPr>
      <w:r>
        <w:rPr>
          <w:color w:val="000000"/>
        </w:rPr>
        <w:t>现阶段可以主张什么</w:t>
      </w:r>
    </w:p>
    <w:p>
      <w:pPr/>
      <w:r>
        <w:t>可以主张已形成清晰的问题定义、公开信息与隐藏评价的边界、固定建议和等动作的对照设计，以及一套经过脚本测试的窄范围恢复和回执基础。可以提出已完成状态标记作为主要待测试策略，以一次呈现作为信息删除基线，但不能把它们包装成首次提出的记忆或权限机制。不能主张首次发现审阅伤害、已有真实模型提升、方法能防止任意回退、七个任务具有统计代表性，或所有固定 API 提供方都兼容现有回执。</w:t>
      </w:r>
    </w:p>
    <w:p>
      <w:pPr>
        <w:pStyle w:val="Heading2"/>
      </w:pPr>
      <w:r>
        <w:rPr>
          <w:color w:val="000000"/>
        </w:rPr>
        <w:t>下一步最有价值的证据</w:t>
      </w:r>
    </w:p>
    <w:p>
      <w:pPr/>
      <w:r>
        <w:t>优先获得三种证据：真实提供方请求能否保持预定差异；自然任务里是否出现足够多的受保护目标和可用建议；C/P 主对比是否有值得继续验证的信号及足够精度的可行设计。这三项决定是否值得继续实现复杂的条件关闭与扩展领域。若第一项失败，先修复表达层；第二项失败，调整任务覆盖；第三项若仍不精确，只能记为不确定。P₀/A 无差异本身不应成为停止 C/P 的门槛。</w:t>
      </w:r>
    </w:p>
    <w:p>
      <w:pPr>
        <w:pStyle w:val="Heading2"/>
      </w:pPr>
      <w:r>
        <w:rPr>
          <w:color w:val="000000"/>
        </w:rPr>
        <w:t>需要作者作出的决策</w:t>
      </w:r>
    </w:p>
    <w:p>
      <w:pPr/>
      <w:r>
        <w:t>确认是否接受把论文定位为反馈作用范围，而不是泛化审阅器或训练新模型。随后选择可承担的模型组合、预算上限和目标精度，并在开发数据出来后冻结最小有意义差异与任务完成容忍界限。没有这些条件时，本稿可以用于讨论研究设计，却不能写成已经证明贡献的投稿终稿。</w:t>
      </w:r>
    </w:p>
    <w:p>
      <w:pPr>
        <w:pStyle w:val="Heading1"/>
      </w:pPr>
      <w:r>
        <w:rPr>
          <w:color w:val="000000"/>
        </w:rPr>
        <w:t>参考文献</w:t>
      </w:r>
    </w:p>
    <w:p>
      <w:pPr>
        <w:pStyle w:val="Reference"/>
        <w:keepLines/>
      </w:pPr>
      <w:r>
        <w:t>所有在线来源核验日期为 2026 年 10 月 7 日。除明确标注外，下列文献以 arXiv 预印本记录引用，不以作者备注代替会议录核验。初次发布与所读版本日期分别列出；实现提交另列，避免与基准论文混淆。</w:t>
      </w:r>
    </w:p>
    <w:p>
      <w:pPr>
        <w:pStyle w:val="Reference"/>
        <w:keepLines/>
      </w:pPr>
      <w:r>
        <w:t>[1] Anh Ta, Junjie Zhu, Shahin Shayandeh. Reinforced Agent: Inference-Time Feedback for Tool-Calling Agents. arXiv:2604.27233v1, 2026-04-29. https://arxiv.org/html/2604.27233v1</w:t>
      </w:r>
    </w:p>
    <w:p>
      <w:pPr>
        <w:pStyle w:val="Reference"/>
        <w:keepLines/>
      </w:pPr>
      <w:r>
        <w:t>[2] Sajib Acharjee Dip, Dawei Zhou, Liqing Zhang. Think Again or Think Longer? Selective Verification for Budget-Aware Reasoning. arXiv:2606.19808v1, 2026-06-18. https://arxiv.org/html/2606.19808v1</w:t>
      </w:r>
    </w:p>
    <w:p>
      <w:pPr>
        <w:pStyle w:val="Reference"/>
        <w:keepLines/>
      </w:pPr>
      <w:r>
        <w:t>[3] Wenhao Yuan, Chenchen Lin, Jian Chen, Jinfeng Xu, Xuehe Wang, Edith Cheuk Han Ngai. Verify Before You Commit: Towards Faithful Reasoning in LLM Agents via Self-Auditing. arXiv:2604.08401v1, 2026-04-09. https://arxiv.org/html/2604.08401v1</w:t>
      </w:r>
    </w:p>
    <w:p>
      <w:pPr>
        <w:pStyle w:val="Reference"/>
        <w:keepLines/>
      </w:pPr>
      <w:r>
        <w:t>[4] Shengda Fan, Xuyan Ye, Yupeng Huo, et al. AgentProcessBench: Diagnosing Step-Level Process Quality in Tool-Using Agents. arXiv:2603.14465v2. 初发 2026-03-15；所读修订 2026-06-01. https://arxiv.org/html/2603.14465v2</w:t>
      </w:r>
    </w:p>
    <w:p>
      <w:pPr>
        <w:pStyle w:val="Reference"/>
        <w:keepLines/>
      </w:pPr>
      <w:r>
        <w:t>[5] Seongjae Kang, Taehyung Yu, Sung Ju Hwang. PolicyGuide: From Guarding One Action to Guiding the Whole Workflow for Policy-Compliant LLM Agents. arXiv:2608.19861v1, 2026-08-20. https://arxiv.org/html/2608.19861v1</w:t>
      </w:r>
    </w:p>
    <w:p>
      <w:pPr>
        <w:pStyle w:val="Reference"/>
        <w:keepLines/>
      </w:pPr>
      <w:r>
        <w:t>[6] Yukun Zhang, Kemu Xu, Yishen Chen. How Do Agent Harnesses Create Value? Planning Information and Release Control in Stateful LLM Agents. arXiv:2609.20474v1, 2026-09-17. https://arxiv.org/html/2609.20474v1</w:t>
      </w:r>
    </w:p>
    <w:p>
      <w:pPr>
        <w:pStyle w:val="Reference"/>
        <w:keepLines/>
      </w:pPr>
      <w:r>
        <w:t>[7] Renwei Meng. Policy-Conditioned Counterfactual Credit for Verifiable Reinforcement Learning of Long-Horizon Language Agents. arXiv:2606.05263v1, 2026-06-03. https://arxiv.org/html/2606.05263v1</w:t>
      </w:r>
    </w:p>
    <w:p>
      <w:pPr>
        <w:pStyle w:val="Reference"/>
        <w:keepLines/>
      </w:pPr>
      <w:r>
        <w:t>[8] Yuanhao Li, Hongbo Wang, Xuhong Chen, Yiming Cao, Xunzhu Tang. Counterfactual Rollout Replay: Forkable Environments as Free Process Rewards for Software Engineering Agents. arXiv:2609.33875v3. 初发 2026-09-27；所读修订 2026-10-03. https://arxiv.org/html/2609.33875v3</w:t>
      </w:r>
    </w:p>
    <w:p>
      <w:pPr>
        <w:pStyle w:val="Reference"/>
        <w:keepLines/>
      </w:pPr>
      <w:r>
        <w:t>[9] Tianzhu Zhang. When Should LLMs Trust Their Own Revisions? A Risk-Aware Study of Intrinsic Self-Correction. arXiv:2609.35832v1. 来源报告提交日期 2026-09-23. https://arxiv.org/html/2609.35832v1</w:t>
      </w:r>
    </w:p>
    <w:p>
      <w:pPr>
        <w:pStyle w:val="Reference"/>
        <w:keepLines/>
      </w:pPr>
      <w:r>
        <w:t>[10] Rakshith Vasudev, Melisa Russak, Dan Bikel, Waseem Alshikh. Accurate Failure Prediction in Agents Does Not Imply Effective Failure Prevention. arXiv:2602.03338v1, 2026-02-03. 正文标题前冠 The Intervention Paradox. https://arxiv.org/html/2602.03338v1</w:t>
      </w:r>
    </w:p>
    <w:p>
      <w:pPr>
        <w:pStyle w:val="Reference"/>
        <w:keepLines/>
      </w:pPr>
      <w:r>
        <w:t>[11] Xutao Mao, Rui Qian, Longxiang Wang, et al. “You’re Right, Let Me Fix It”: How LLM Agents Damage Correct Work When Falsely Accused. arXiv:2609.32616v1, 2026-09-26. https://arxiv.org/html/2609.32616v1</w:t>
      </w:r>
    </w:p>
    <w:p>
      <w:pPr>
        <w:pStyle w:val="Reference"/>
        <w:keepLines/>
      </w:pPr>
      <w:r>
        <w:t>[12] Yanwei Cui, Xing Zhang, Yulong Zhang, Li Shao, Xiaofeng Shi, Guanghui Wang, Peiyang He. Closing the Feedback Loop: From Experience Extraction to Insight Governance in Verbal Reinforcement Learning. arXiv:2606.17591v1, 2026-06-16. https://arxiv.org/html/2606.17591v1</w:t>
      </w:r>
    </w:p>
    <w:p>
      <w:pPr>
        <w:pStyle w:val="Reference"/>
        <w:keepLines/>
      </w:pPr>
      <w:r>
        <w:t>[13] Aman Mehta, Anupam Datta. Plans Don’t Persist: Why Context Management Is Load Bearing for LLM Agents. arXiv:2606.22953v1, 2026-06-22. https://arxiv.org/html/2606.22953v1</w:t>
      </w:r>
    </w:p>
    <w:p>
      <w:pPr>
        <w:pStyle w:val="Reference"/>
        <w:keepLines/>
      </w:pPr>
      <w:r>
        <w:t>[14] Qingzhuo Wang, CaiYi Wang, Jinglu Meng, Ruiyang Qin, Kunyu Peng, Zhihua Wei, Wen Shen. Authorization Closure Graph: Minimal Repair for LLM Agents with Evolving User Instructions. arXiv:2609.32428v1, 2026-09-26. https://arxiv.org/html/2609.32428v1</w:t>
      </w:r>
    </w:p>
    <w:p>
      <w:pPr>
        <w:pStyle w:val="Reference"/>
        <w:keepLines/>
      </w:pPr>
      <w:r>
        <w:t>[15] Yingying Liu, Junzhou Fang, Chenxiong Qian. When Agent Context Goes Stale: Incoherence in Volatile Agent Context. arXiv:2610.05281v2. 初发 2026-10-04；所读修订 2026-10-06. https://arxiv.org/html/2610.05281v2</w:t>
      </w:r>
    </w:p>
    <w:p>
      <w:pPr>
        <w:pStyle w:val="Reference"/>
        <w:keepLines/>
      </w:pPr>
      <w:r>
        <w:t>[16] Tian Zhang, Yiwei Xu, Juan Wang, et al. AgentSentry: Mitigating Indirect Prompt Injection in LLM Agents via Temporal Causal Diagnostics and Context Purification. arXiv:2602.22724v1, 2026-02-26. https://arxiv.org/html/2602.22724v1</w:t>
      </w:r>
    </w:p>
    <w:p>
      <w:pPr>
        <w:pStyle w:val="Reference"/>
        <w:keepLines/>
      </w:pPr>
      <w:r>
        <w:t>[17] Yiheng Sun, Huifei Wang, Yancheng Zhu, Zhenyu Li, Zebin Zhao, Yifan Yuan. When “Must” Becomes “Maybe”: Constraint Weakening in LLM Agent Workflows. arXiv:2608.24569v1, 2026-08-25. https://arxiv.org/html/2608.24569v1</w:t>
      </w:r>
    </w:p>
    <w:p>
      <w:pPr>
        <w:pStyle w:val="Reference"/>
        <w:keepLines/>
      </w:pPr>
      <w:r>
        <w:t>[18] Aman Madaan, Niket Tandon, Prakhar Gupta, et al. Self-Refine: Iterative Refinement with Self-Feedback. arXiv:2303.17651v2. 初发 2023-03-30；所读版本记录 2023-05-25. https://arxiv.org/abs/2303.17651</w:t>
      </w:r>
    </w:p>
    <w:p>
      <w:pPr>
        <w:pStyle w:val="Reference"/>
        <w:keepLines/>
      </w:pPr>
      <w:r>
        <w:t>[19] Noah Shinn, Federico Cassano, Edward Berman, Ashwin Gopinath, Karthik Narasimhan, Shunyu Yao. Reflexion: Language Agents with Verbal Reinforcement Learning. arXiv:2303.11366v4. 初发 2023-03-20；所读版本记录 2023-10-10. https://arxiv.org/abs/2303.11366</w:t>
      </w:r>
    </w:p>
    <w:p>
      <w:pPr>
        <w:pStyle w:val="Reference"/>
        <w:keepLines/>
      </w:pPr>
      <w:r>
        <w:t>[20] Victor Barres, Honghua Dong, Soham Ray, Xujie Si, Karthik Narasimhan. τ²-Bench: Evaluating Conversational Agents in a Dual-Control Environment. arXiv:2506.07982v1, 2025-06-09. https://arxiv.org/abs/2506.07982</w:t>
      </w:r>
    </w:p>
    <w:p>
      <w:pPr>
        <w:pStyle w:val="Reference"/>
        <w:keepLines/>
      </w:pPr>
      <w:r>
        <w:t>[21] Sierra Research. tau2-bench 官方代码仓库，τ³ Telecom 固定实现提交 4ce7c0397c1eb65c9bbe59aeacfe1ca44a1cd699，包版本 1.0.1. 代码核验日期 2026-10-07. https://github.com/sierra-research/tau2-bench/tree/4ce7c0397c1eb65c9bbe59aeacfe1ca44a1cd699</w:t>
      </w:r>
    </w:p>
    <w:sectPr w:rsidR="00FC693F" w:rsidRPr="0006063C" w:rsidSect="00034616">
      <w:footerReference w:type="default" r:id="rId9"/>
      <w:pgSz w:w="12240" w:h="15840"/>
      <w:pgMar w:top="1051" w:right="1094" w:bottom="1008"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6" w:lineRule="exact" w:after="100"/>
    </w:pPr>
    <w:rPr>
      <w:rFonts w:ascii="Times New Roman" w:hAnsi="Times New Roman" w:eastAsia="Noto Serif CJK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00" w:lineRule="exact"/>
      <w:outlineLvl w:val="0"/>
    </w:pPr>
    <w:rPr>
      <w:rFonts w:eastAsiaTheme="majorEastAsia" w:hAnsiTheme="majorHAnsi" w:cstheme="majorBidi" w:ascii="Times New Roman" w:hAnsi="Times New Roman"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line="340" w:lineRule="exact"/>
      <w:outlineLvl w:val="1"/>
    </w:pPr>
    <w:rPr>
      <w:rFonts w:eastAsiaTheme="majorEastAsia" w:hAnsiTheme="majorHAnsi" w:cstheme="majorBidi" w:ascii="Times New Roman" w:hAnsi="Times New Roman"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560" w:lineRule="exact"/>
      <w:contextualSpacing/>
    </w:pPr>
    <w:rPr>
      <w:rFonts w:eastAsiaTheme="majorEastAsia" w:hAnsiTheme="majorHAnsi" w:cstheme="majorBidi" w:ascii="Times New Roman" w:hAnsi="Times New Roman"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80" w:lineRule="exact"/>
    </w:pPr>
    <w:rPr>
      <w:rFonts w:eastAsiaTheme="majorEastAsia" w:hAnsiTheme="majorHAnsi" w:cstheme="majorBidi" w:ascii="Times New Roman" w:hAnsi="Times New Roman" w:eastAsia="Noto Sans CJK SC"/>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326" w:lineRule="exact"/>
    </w:pPr>
    <w:rPr>
      <w:rFonts w:ascii="Times New Roman" w:hAnsi="Times New Roman" w:eastAsia="Noto Serif CJK SC"/>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exact" w:after="160"/>
    </w:pPr>
    <w:rPr>
      <w:rFonts w:ascii="Times New Roman" w:hAnsi="Times New Roman" w:eastAsia="Noto Serif CJK S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widowControl/>
      <w:spacing w:after="140" w:line="300" w:lineRule="exact" w:before="60"/>
      <w:ind w:left="259"/>
    </w:pPr>
    <w:rPr>
      <w:rFonts w:ascii="Times New Roman" w:hAnsi="Times New Roman" w:eastAsia="Noto Serif CJK SC"/>
      <w:b w:val="0"/>
      <w:color w:val="000000"/>
      <w:sz w:val="20"/>
    </w:rPr>
  </w:style>
  <w:style w:type="paragraph" w:customStyle="1" w:styleId="Reference">
    <w:name w:val="Reference"/>
    <w:pPr>
      <w:widowControl/>
      <w:spacing w:after="100" w:line="226" w:lineRule="exact"/>
    </w:pPr>
    <w:rPr>
      <w:rFonts w:ascii="Times New Roman" w:hAnsi="Times New Roman" w:eastAsia="Noto Serif CJK SC"/>
      <w:b w:val="0"/>
      <w:color w:val="000000"/>
      <w:sz w:val="18"/>
    </w:rPr>
  </w:style>
  <w:style w:type="paragraph" w:customStyle="1" w:styleId="Step">
    <w:name w:val="Step"/>
    <w:pPr>
      <w:widowControl/>
      <w:spacing w:after="100" w:line="300" w:lineRule="exact"/>
    </w:pPr>
    <w:rPr>
      <w:rFonts w:ascii="Times New Roman" w:hAnsi="Times New Roman" w:eastAsia="Noto Serif CJK SC"/>
      <w:b w:val="0"/>
      <w:color w:val="000000"/>
      <w:sz w:val="20"/>
    </w:rPr>
  </w:style>
  <w:style w:type="paragraph" w:customStyle="1" w:styleId="Metadata">
    <w:name w:val="Metadata"/>
    <w:pPr>
      <w:widowControl/>
      <w:spacing w:after="100" w:line="300" w:lineRule="exact"/>
    </w:pPr>
    <w:rPr>
      <w:rFonts w:ascii="Times New Roman" w:hAnsi="Times New Roman" w:eastAsia="Noto Serif CJK SC"/>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Reviewer Advice Lifetimes and Goal Preservation in Multi Turn Agents</dc:title>
  <dc:subject>Pre-experiment research manuscript on reviewer advice scope and achieved-goal preservation</dc:subject>
  <dc:creator>jiuxiyan</dc:creator>
  <cp:keywords>reviewer feedback; tool agents; goal preservation; controlled experiment</cp:keywords>
  <dc:description/>
  <cp:lastModifiedBy/>
  <cp:revision>1</cp:revision>
  <dcterms:created xsi:type="dcterms:W3CDTF">2013-12-23T23:15:00Z</dcterms:created>
  <dcterms:modified xsi:type="dcterms:W3CDTF">2013-12-23T23:15:00Z</dcterms:modified>
  <cp:category/>
</cp:coreProperties>
</file>