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Pixel News</w:t>
      </w:r>
    </w:p>
    <w:p>
      <w:pPr>
        <w:spacing w:after="100"/>
        <w:jc w:val="center"/>
      </w:pPr>
      <w:r>
        <w:rPr>
          <w:i/>
          <w:iCs/>
          <w:sz w:val="28"/>
          <w:szCs w:val="28"/>
        </w:rPr>
        <w:t xml:space="preserve">Fundamentos del proyecto</w:t>
      </w:r>
    </w:p>
    <w:p>
      <w:pPr>
        <w:spacing w:after="600"/>
        <w:jc w:val="center"/>
      </w:pPr>
      <w:r>
        <w:rPr>
          <w:color w:val="666666"/>
          <w:sz w:val="20"/>
          <w:szCs w:val="20"/>
        </w:rPr>
        <w:t xml:space="preserve">Documento vivo — versión inicial, 15 de agosto de 2026</w:t>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Qué es Pixel News</w:t>
      </w:r>
    </w:p>
    <w:p>
      <w:pPr>
        <w:spacing w:after="200"/>
        <w:jc w:val="both"/>
      </w:pPr>
      <w:r>
        <w:t xml:space="preserve">Pixel News es un proyecto de medio de noticias todavía en gestación: no existe hoy como sitio web publicado, sino como un procedimiento de producción de artículos que ya funciona de punta a punta. Cada artículo se redacta, se compone visualmente con una estética pixel-art retro (fondo oscuro, tipografía monoespaciada, texto justificado, jerarquía por color en vez de por tamaño de fuente) y se exporta como PDF usando PixelProcessor, un procesador de texto de escritorio desarrollado dentro del mismo ecosistema de herramientas del usuario (el hub "Ma'hai").</w:t>
      </w:r>
    </w:p>
    <w:p>
      <w:pPr>
        <w:spacing w:after="200"/>
        <w:jc w:val="both"/>
      </w:pPr>
      <w:r>
        <w:t xml:space="preserve">El objetivo de este documento es dejar registrado, en un solo lugar y en lenguaje llano, qué es Pixel News, qué lo distingue editorialmente, y cómo funciona técnicamente — para que el proyecto pueda retomarse, explicarse o delegarse sin depender de que una conversación puntual se recuerde con precisión.</w:t>
      </w:r>
    </w:p>
    <w:p>
      <w:pPr>
        <w:pStyle w:val="Heading1"/>
        <w:spacing w:after="200" w:before="400"/>
      </w:pPr>
      <w:r>
        <w:t xml:space="preserve">2. Línea editorial</w:t>
      </w:r>
    </w:p>
    <w:p>
      <w:pPr>
        <w:spacing w:after="200"/>
        <w:jc w:val="both"/>
      </w:pPr>
      <w:r>
        <w:t xml:space="preserve">Pixel News parte de una orientación de izquierda entendida en términos generales, pero abordada desde una perspectiva marcadamente materialista y objetivista: la realidad se analiza, en la medida de lo posible, como resultado de relaciones verificables — datos, estructura, cálculo — antes que como una sucesión de juicios morales. Cuando aparece una crítica política, se sostiene mostrando el mecanismo material que la explica, no declarándose como una opinión abierta.</w:t>
      </w:r>
    </w:p>
    <w:p>
      <w:pPr>
        <w:spacing w:after="200"/>
        <w:jc w:val="both"/>
      </w:pPr>
      <w:r>
        <w:t xml:space="preserve">Esta orientación es deliberadamente implícita: no hay notas de opinión firmadas como tales. La línea editorial se nota en qué hechos se cubren y en cómo se conecta la evidencia con la estructura que los explica, nunca en una declaración de postura.</w:t>
      </w:r>
    </w:p>
    <w:p>
      <w:pPr>
        <w:pStyle w:val="Heading2"/>
        <w:spacing w:after="150" w:before="300"/>
      </w:pPr>
      <w:r>
        <w:t xml:space="preserve">2.1 El método: campo de fuerzas y punto de menor fricción</w:t>
      </w:r>
    </w:p>
    <w:p>
      <w:pPr>
        <w:spacing w:after="200"/>
        <w:jc w:val="both"/>
      </w:pPr>
      <w:r>
        <w:t xml:space="preserve">El método analítico central de Pixel News no es una etiqueta vaga sino una herramienta de trabajo concreta y repetible. Su premisa es que las cosas ocurren por un determinado juego de fuerzas, y que analizar esas fuerzas —quién concentra qué recursos, qué vínculos y roles ya existen, qué estructura de red está en juego— es lo que permite acercarse a la viabilidad real de un cambio propuesto, en lugar de quedarse en un llamado abstracto del tipo "hace falta un cambio de conciencia".</w:t>
      </w:r>
    </w:p>
    <w:p>
      <w:pPr>
        <w:spacing w:after="200"/>
        <w:jc w:val="both"/>
      </w:pPr>
      <w:r>
        <w:t xml:space="preserve">La pregunta operativa frente a cualquier propuesta de cambio social es: ¿dónde está el punto de menor fricción (roce), y cuál es el mecanismo concreto que lo aprovecha?</w:t>
      </w:r>
    </w:p>
    <w:p>
      <w:pPr>
        <w:spacing w:after="200" w:before="100"/>
        <w:ind w:left="480"/>
        <w:jc w:val="both"/>
      </w:pPr>
      <w:r>
        <w:rPr>
          <w:i/>
          <w:iCs/>
        </w:rPr>
        <w:t xml:space="preserve">Ejemplo de referencia: frente al rol del arte siendo absorbido por dinámicas comerciales, la vía de menor fricción no es reclamar en abstracto que se valore el arte, sino un mecanismo de multiplicación concreto —formar monitores o docentes que a su vez forman a otros— que aumenta exponencialmente la cantidad de sujetos afines.</w:t>
      </w:r>
    </w:p>
    <w:p>
      <w:pPr>
        <w:spacing w:after="200"/>
        <w:jc w:val="both"/>
      </w:pPr>
      <w:r>
        <w:t xml:space="preserve">De este análisis se desprende una distinción estructural que atraviesa buena parte de los temas que Pixel News puede cubrir:</w:t>
      </w:r>
    </w:p>
    <w:p>
      <w:pPr>
        <w:pStyle w:val="ListParagraph"/>
        <w:numPr>
          <w:ilvl w:val="0"/>
          <w:numId w:val="2"/>
        </w:numPr>
        <w:spacing w:after="120"/>
      </w:pPr>
      <w:r>
        <w:t xml:space="preserve">Las estructuras masificadas y deslocalizadas (grandes redes sociales corporativas, burocracias estatales genéricas) tienen alto roce: son generales, pero no están ancladas a ningún contexto específico.</w:t>
      </w:r>
    </w:p>
    <w:p>
      <w:pPr>
        <w:pStyle w:val="ListParagraph"/>
        <w:numPr>
          <w:ilvl w:val="0"/>
          <w:numId w:val="2"/>
        </w:numPr>
        <w:spacing w:after="120"/>
      </w:pPr>
      <w:r>
        <w:t xml:space="preserve">La organización espontánea y localizada (barrial, comunitaria) tiene bajo roce: sus integrantes ya traen soluciones culturales previas, roles asignados y figuras respetadas — la contradicción llega parcialmente resuelta por el tejido social existente.</w:t>
      </w:r>
    </w:p>
    <w:p>
      <w:pPr>
        <w:spacing w:after="200"/>
        <w:jc w:val="both"/>
      </w:pPr>
      <w:r>
        <w:t xml:space="preserve">Queda abierta, y es tema recurrente, la pregunta de por qué esas organizaciones localizadas de bajo roce no terminan constituyendo un panorama fuerte y constante frente a las estructuras masificadas. La respuesta que sostiene este proyecto no es la falta de conciencia, sino la alienación entendida en términos estructurales y objetivos: la estructura de la sociedad retiene, o secuestra parcialmente, la capacidad de resiliencia de los seres humanos como especie.</w:t>
      </w:r>
    </w:p>
    <w:p>
      <w:pPr>
        <w:spacing w:after="200"/>
        <w:jc w:val="both"/>
      </w:pPr>
      <w:r>
        <w:t xml:space="preserve">Este método conecta directamente con un proyecto de mayor alcance del mismo usuario —un "centro de operaciones" que busca usar teoría de redes para diagnosticar y ejecutar cambios sociales viables—, del cual Pixel News puede entenderse como una pieza de divulgación y registro, no como un proyecto aislado.</w:t>
      </w:r>
    </w:p>
    <w:p>
      <w:pPr>
        <w:pStyle w:val="Heading2"/>
        <w:spacing w:after="150" w:before="300"/>
      </w:pPr>
      <w:r>
        <w:t xml:space="preserve">2.2 Estructura argumentativa</w:t>
      </w:r>
    </w:p>
    <w:p>
      <w:pPr>
        <w:spacing w:after="200"/>
        <w:jc w:val="both"/>
      </w:pPr>
      <w:r>
        <w:t xml:space="preserve">En una etapa temprana de definición de este método se planteó anclarlo en la estructura hegeliana de tesis-antítesis-síntesis. Una revisión de fuentes mostró que esto es un error histórico extendido: Hegel nunca empleó esa tríada; proviene de Fichte, y se le atribuyó a Hegel por una simplificación pedagógica posterior, codificada por Heinrich Moritz Chalybäus en el siglo XIX. El propio Hegel rechazaba explícitamente ese tipo de esquematización externa.</w:t>
      </w:r>
    </w:p>
    <w:p>
      <w:pPr>
        <w:spacing w:after="200"/>
        <w:jc w:val="both"/>
      </w:pPr>
      <w:r>
        <w:t xml:space="preserve">La estructura argumentativa adoptada en su lugar es más fiel al movimiento dialéctico real: presentar primero el hecho tal como aparece —de forma aislada y abstracta— y mostrar después la insuficiencia estructural que ese hecho, por sí solo, no puede explicar. No se trata de enfrentar una cosa contra otra desde afuera, sino de mostrar que la primera lectura, aunque no sea falsa, es incompleta.</w:t>
      </w:r>
    </w:p>
    <w:p>
      <w:pPr>
        <w:pStyle w:val="Heading2"/>
        <w:spacing w:after="150" w:before="300"/>
      </w:pPr>
      <w:r>
        <w:t xml:space="preserve">2.3 Tono</w:t>
      </w:r>
    </w:p>
    <w:p>
      <w:pPr>
        <w:spacing w:after="200"/>
        <w:jc w:val="both"/>
      </w:pPr>
      <w:r>
        <w:t xml:space="preserve">El tono de referencia es informativo y sobrio, sin relleno ni exageración retórica, con un cierre breve y reflexivo que conecta el hecho puntual con algo más amplio — nunca un editorial abierto. La paleta de énfasis visual (ver sección 3) refuerza esto mismo a nivel formal: la jerarquía se logra con color, no con mayúsculas ni con tamaños de fuente exagerados.</w:t>
      </w:r>
    </w:p>
    <w:p>
      <w:pPr>
        <w:pStyle w:val="Heading1"/>
        <w:spacing w:after="200" w:before="400"/>
      </w:pPr>
      <w:r>
        <w:t xml:space="preserve">3. Formato visual y técnico</w:t>
      </w:r>
    </w:p>
    <w:p>
      <w:pPr>
        <w:spacing w:after="200"/>
        <w:jc w:val="both"/>
      </w:pPr>
      <w:r>
        <w:t xml:space="preserve">Cada artículo se compone dentro de PixelProcessor siguiendo un formato de líneas validado empíricamente, documentado en detalle en apps/PixelProcessor/PIXELNEWS_FORMAT.md. Los puntos centrales:</w:t>
      </w:r>
    </w:p>
    <w:p>
      <w:pPr>
        <w:pStyle w:val="ListParagraph"/>
        <w:numPr>
          <w:ilvl w:val="0"/>
          <w:numId w:val="2"/>
        </w:numPr>
        <w:spacing w:after="120"/>
      </w:pPr>
      <w:r>
        <w:t xml:space="preserve">El texto se alinea justificado, lo que le da una terminación prolija y de aspecto impreso.</w:t>
      </w:r>
    </w:p>
    <w:p>
      <w:pPr>
        <w:pStyle w:val="ListParagraph"/>
        <w:numPr>
          <w:ilvl w:val="0"/>
          <w:numId w:val="2"/>
        </w:numPr>
        <w:spacing w:after="120"/>
      </w:pPr>
      <w:r>
        <w:t xml:space="preserve">La jerarquía (títulos, frases clave) se logra coloreando el texto con spans de color, no agrandando la tipografía.</w:t>
      </w:r>
    </w:p>
    <w:p>
      <w:pPr>
        <w:pStyle w:val="ListParagraph"/>
        <w:numPr>
          <w:ilvl w:val="0"/>
          <w:numId w:val="2"/>
        </w:numPr>
        <w:spacing w:after="120"/>
      </w:pPr>
      <w:r>
        <w:t xml:space="preserve">Se descubrió y evitó deliberadamente un defecto real: usar una tipografía de tamaño grande en un título que ocupa más de una línea produce superposición visual entre renglones en el PDF exportado. La solución validada es mantener siempre el mismo tamaño de fuente y usar el color como único mecanismo de énfasis.</w:t>
      </w:r>
    </w:p>
    <w:p>
      <w:pPr>
        <w:pStyle w:val="ListParagraph"/>
        <w:numPr>
          <w:ilvl w:val="0"/>
          <w:numId w:val="2"/>
        </w:numPr>
        <w:spacing w:after="120"/>
      </w:pPr>
      <w:r>
        <w:t xml:space="preserve">Paleta de referencia: cian (rgb(1, 203, 198)) para títulos y firma editorial, magenta (rgb(243, 104, 224)) para frases destacadas dentro del cuerpo del texto.</w:t>
      </w:r>
    </w:p>
    <w:p>
      <w:pPr>
        <w:pStyle w:val="Heading1"/>
        <w:spacing w:after="200" w:before="400"/>
      </w:pPr>
      <w:r>
        <w:t xml:space="preserve">4. Automatización</w:t>
      </w:r>
    </w:p>
    <w:p>
      <w:pPr>
        <w:spacing w:after="200"/>
        <w:jc w:val="both"/>
      </w:pPr>
      <w:r>
        <w:t xml:space="preserve">Se construyó y verificó un mecanismo para generar artículos y exportarlos a PDF sin intervención humana, pensado como base para que en el futuro sea posible pedir, por ejemplo, "un artículo diario sobre determinado tema, a determinada hora, exportado a determinado lugar":</w:t>
      </w:r>
    </w:p>
    <w:p>
      <w:pPr>
        <w:pStyle w:val="ListParagraph"/>
        <w:numPr>
          <w:ilvl w:val="0"/>
          <w:numId w:val="2"/>
        </w:numPr>
        <w:spacing w:after="120"/>
      </w:pPr>
      <w:r>
        <w:t xml:space="preserve">Un script generador toma el artículo como datos estructurados (título, titular, párrafos, frases a destacar, firma) y produce un archivo .pxp válido siguiendo el formato de la sección 3.</w:t>
      </w:r>
    </w:p>
    <w:p>
      <w:pPr>
        <w:pStyle w:val="ListParagraph"/>
        <w:numPr>
          <w:ilvl w:val="0"/>
          <w:numId w:val="2"/>
        </w:numPr>
        <w:spacing w:after="120"/>
      </w:pPr>
      <w:r>
        <w:t xml:space="preserve">PixelProcessor puede lanzarse con parámetros de línea de comandos que le indican qué artículo importar y en qué carpeta exportar el PDF resultante.</w:t>
      </w:r>
    </w:p>
    <w:p>
      <w:pPr>
        <w:pStyle w:val="ListParagraph"/>
        <w:numPr>
          <w:ilvl w:val="0"/>
          <w:numId w:val="2"/>
        </w:numPr>
        <w:spacing w:after="120"/>
      </w:pPr>
      <w:r>
        <w:t xml:space="preserve">Al recibir esos parámetros, la aplicación carga el artículo, genera el PDF automáticamente —reutilizando exactamente el mismo mecanismo de exportación que usa el botón manual, sin caminos alternativos que puedan desincronizarse— y se cierra sola.</w:t>
      </w:r>
    </w:p>
    <w:p>
      <w:pPr>
        <w:pStyle w:val="ListParagraph"/>
        <w:numPr>
          <w:ilvl w:val="0"/>
          <w:numId w:val="2"/>
        </w:numPr>
        <w:spacing w:after="120"/>
      </w:pPr>
      <w:r>
        <w:t xml:space="preserve">El nombre del archivo resultante se genera a partir de la fecha y hora exactas de exportación, evitando cualquier necesidad de nombrarlo a mano.</w:t>
      </w:r>
    </w:p>
    <w:p>
      <w:pPr>
        <w:pStyle w:val="ListParagraph"/>
        <w:numPr>
          <w:ilvl w:val="0"/>
          <w:numId w:val="2"/>
        </w:numPr>
        <w:spacing w:after="120"/>
      </w:pPr>
      <w:r>
        <w:t xml:space="preserve">Este mecanismo fue construido y probado de punta a punta: se generó un artículo real (sobre el fin del soporte de WhatsApp a celulares antiguos) y se confirmó que el PDF resultante se ve exactamente como se espera, sin afectar en nada el uso manual normal de la aplicación.</w:t>
      </w:r>
    </w:p>
    <w:p>
      <w:pPr>
        <w:pStyle w:val="Heading1"/>
        <w:spacing w:after="200" w:before="400"/>
      </w:pPr>
      <w:r>
        <w:t xml:space="preserve">5. Próximos pasos</w:t>
      </w:r>
    </w:p>
    <w:p>
      <w:pPr>
        <w:spacing w:after="200"/>
        <w:jc w:val="both"/>
      </w:pPr>
      <w:r>
        <w:t xml:space="preserve">El paso siguiente, todavía no implementado, es un flujo editorial de varios agentes especializados que trabajen en cadena antes de que el artículo llegue al paso de composición y exportación descrito en la sección 4:</w:t>
      </w:r>
    </w:p>
    <w:p>
      <w:pPr>
        <w:pStyle w:val="ListParagraph"/>
        <w:numPr>
          <w:ilvl w:val="0"/>
          <w:numId w:val="2"/>
        </w:numPr>
        <w:spacing w:after="120"/>
      </w:pPr>
      <w:r>
        <w:t xml:space="preserve">Un agente investigador que busca fuentes, extrae los datos clave y arma un esquema del artículo.</w:t>
      </w:r>
    </w:p>
    <w:p>
      <w:pPr>
        <w:pStyle w:val="ListParagraph"/>
        <w:numPr>
          <w:ilvl w:val="0"/>
          <w:numId w:val="2"/>
        </w:numPr>
        <w:spacing w:after="120"/>
      </w:pPr>
      <w:r>
        <w:t xml:space="preserve">Un agente redactor que escribe cada sección siguiendo ese esquema y la línea editorial de este documento.</w:t>
      </w:r>
    </w:p>
    <w:p>
      <w:pPr>
        <w:pStyle w:val="ListParagraph"/>
        <w:numPr>
          <w:ilvl w:val="0"/>
          <w:numId w:val="2"/>
        </w:numPr>
        <w:spacing w:after="120"/>
      </w:pPr>
      <w:r>
        <w:t xml:space="preserve">Un agente editor / SEO que revisa legibilidad, ajusta palabras clave, elimina muletillas típicas de la escritura por IA y verifica la gramática.</w:t>
      </w:r>
    </w:p>
    <w:p>
      <w:pPr>
        <w:spacing w:after="200"/>
        <w:jc w:val="both"/>
      </w:pPr>
      <w:r>
        <w:t xml:space="preserve">Una vez que ese flujo editorial esté definido con el mismo nivel de detalle que el resto de este documento, podrá conectarse directamente con la automatización de la sección 4 y con una tarea programada, cerrando el ciclo completo: de un tema propuesto a un PDF terminado, sin intervención manual en el medio.</w:t>
      </w:r>
    </w:p>
    <w:p>
      <w:pPr>
        <w:pStyle w:val="Heading1"/>
        <w:spacing w:after="200" w:before="400"/>
      </w:pPr>
      <w:r>
        <w:t xml:space="preserve">6. Estado del documento</w:t>
      </w:r>
    </w:p>
    <w:p>
      <w:pPr>
        <w:spacing w:after="200"/>
        <w:jc w:val="both"/>
      </w:pPr>
      <w:r>
        <w:t xml:space="preserve">Este es un documento vivo: se actualiza a medida que se toman nuevas decisiones sobre tono, método o arquitectura técnica. Su contraparte de trabajo, más informal y detallada cronológicamente, es apps/PixelProcessor/PIXELNEWS_VOICE.md, en el repositorio del proyecto.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2026-08-15T12:22:38.013Z</dcterms:created>
  <dcterms:modified xsi:type="dcterms:W3CDTF">2026-08-15T12:22:38.014Z</dcterms:modified>
</cp:coreProperties>
</file>

<file path=docProps/custom.xml><?xml version="1.0" encoding="utf-8"?>
<Properties xmlns="http://schemas.openxmlformats.org/officeDocument/2006/custom-properties" xmlns:vt="http://schemas.openxmlformats.org/officeDocument/2006/docPropsVTypes"/>
</file>