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B: identificação por RFID, concentrador e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(Medicamento) e 27 (Perfumaria)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1.4, de 26/10/2026 (2 zonas por lado, andares 4-5 sob a separação, sinal de baixo giro),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formas de identificar a caixa: pelo coletor de dados MovFast que já usamos (Arquitetura A) ou por uma tag RFID fixa na caixa retornável (Arquitetura B).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piloto (estações 05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na Arquitetura B.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por baixo da esteira de separação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(prédios 001 a 005 e 006 a 010), cada uma com um display de endereço e quantidade para os andares 4 e 5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inteiro (1 m),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ocupa a frente do bloco inteiro (as duas prateleiras de costas, cerca de 1 m),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cm). No baixo giro, cada bloco tem duas prateleiras de 50 cm de costas (1 m), com 2 m de comprimento e 12 prédios de 8 andares por lado, e o corredor fica com cerca de 1,5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andares 0 a 3 do alto giro ficam acima da esteira de transporte; os andares 4 e 5 ficam por baixo da esteira de separação, na frente do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baixo giro: uma barra luminosa âmbar na frente do alto giro, entre a esteira de transporte e o andar 3, acende quando a caixa tem itens no corredor e apaga quando o baixo giro termina. O operador não precisa ficar olhando para 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4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171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duas zonas de cerca de seis prédios. Cada zona tem um display de endereço, um de quantidade e um botão, presos na longarina à altura dos olhos (cerca de 1,5 m), no meio da zona. A zona mostra um item por vez, na ordem da rota. O botão confirma a retirada e o display passa ao item seguinte. Todas as zonas com itens trabalham ao mesmo tempo. Os andares 4 e 5 do alto giro seguem a mesma lógica, com duas zonas (prédios 001 a 005 e 006 a 010).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duas zonas (E1 e E2) e lado direito 015 e 043 a 032 em duas zonas (D1 e D2), quatro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seis prédios por zona, uma zona tem até 48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Opcional: um LED guia no topo de cada prédio, que acende a coluna do item atual da zona. Custa cerca de R$ 1.000 para a operação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só valem para a Arquitetura B.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(dois por estação, um por zona) e nas zonas do baixo giro (dois por lado do corredor).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Arquitetura B usa os mesmos displays, concentradores e Serviço PTL da A. Muda só a forma de identificar a caixa: cada caixa retornável recebe uma tag NFC (13,56 MHz) fixa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B1: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B2: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barramento da estação como mais um nó. Um painel LCD mostra a caixa e os itens que faltam; fecha com nova leitura ou com o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 e sem bateria. Abre sozinho.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caixa precisa parar sempre no mesmo ponto; exige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a Arquitetura B, indicamos o leitor fixo (B2): ele resolve a preocupação de a pulseira atrapalhar o operador e não tem bateria. A pulseira (B1) fica como alternativa para estações em que a caixa não pare sempre no mesmo lugar.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Comparação entre A e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A: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B: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e tag em cada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 a caixa na posição (abre) e faz nova leitura ou aperta o 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R$ 332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da caixa na leitura;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por causa das tags, do cadastro e da instalação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SINAL_BG (liga a luz de baixo giro pela saída extra do nó do prédio 005),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+ 4 = 6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os LEDs guia e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R$ 222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R$ 227 mil; o cabo de força extra custa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 e 26/10/2026.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R$ 14.511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R$ 222.483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R$ 5.562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R$ 14.732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R$ 227.135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R$ 5.678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R$ 19.211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R$ 304.755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R$ 7.619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R$ 34.967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R$ 335.487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R$ 8.387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R$ 41.681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R$ 763.125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R$ 19.078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B1,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R$ 20.971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R$ 337.795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R$ 8.445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B2,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R$ 20.550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R$ 331.524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R$ 8.288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e 1.064 h para a B, a R$ 103,78 por hora (salário médio de analista de desenvolvimento, R$ 8.458,30, salario.com.br, CBO 212405, com encargos), ou cerca de R$ 119 mil e R$ 110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R$ 454 mil na Arquitetura A e R$ 475 mil na B2.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completas, app do coletor e painel; medição do tempo por caixa antes e 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171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251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prédios com um display de endereço e quantidade: cerca de seis prédios no baixo giro e cinco nos andares 4 e 5 do alto giro.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Luz âmbar na frente do operador que acende quando a caixa tem itens no corredor.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f6965e5544bf694c6a03775ff912be4beda563.png"/><Relationship Id="rId10" Type="http://schemas.openxmlformats.org/officeDocument/2006/relationships/image" Target="media/36036294fa1076fd06f683828fd2e390cee49d72.png"/><Relationship Id="rId11" Type="http://schemas.openxmlformats.org/officeDocument/2006/relationships/image" Target="media/6e64b24d79c5228457ae8513aa78b0ecef2640d1.png"/><Relationship Id="rId12" Type="http://schemas.openxmlformats.org/officeDocument/2006/relationships/image" Target="media/a79e7e303ffb629bfdcc93add1cdd947cd7d8879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dab9538ead2a25412c1803db4c2ce2d5f9ad405e.png"/><Relationship Id="rId15" Type="http://schemas.openxmlformats.org/officeDocument/2006/relationships/image" Target="media/f2c8bf12fa65d6920baa35e5e13e8e5dc5891547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f7ff0e4dd086b1e93f1bbeca1aec31d843de1ce9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2026-10-26T15:07:57.919Z</dcterms:created>
  <dcterms:modified xsi:type="dcterms:W3CDTF">2026-10-26T15:07:57.920Z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