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智能健康设备技术知识</w:t>
      </w:r>
    </w:p>
    <w:p>
      <w:pPr>
        <w:pStyle w:val="Heading1"/>
      </w:pPr>
      <w:r>
        <w:t>同步会话</w:t>
      </w:r>
    </w:p>
    <w:p>
      <w:r>
        <w:t>App 调用 openSyncSession 创建设备同步会话，服务端返回 session_id。session_id 有效期为 60 秒，超过有效期继续读取会返回 E103。</w:t>
      </w:r>
    </w:p>
    <w:p>
      <w:pPr>
        <w:pStyle w:val="Heading1"/>
      </w:pPr>
      <w:r>
        <w:t>数据读取</w:t>
      </w:r>
    </w:p>
    <w:p>
      <w:r>
        <w:t>readRecords 接口按分页返回步数、睡眠摘要和设备电量。客户端请求必须携带 product_model、firmware_version、app_version 和 mobile_os。</w:t>
      </w:r>
    </w:p>
    <w:p>
      <w:pPr>
        <w:pStyle w:val="Heading1"/>
      </w:pPr>
      <w:r>
        <w:t>异常处理</w:t>
      </w:r>
    </w:p>
    <w:p>
      <w:r>
        <w:t>E103 表示同步会话过期，客户端应重新创建 session 后再读取。连续三次出现 E103 时，需要同时保留蓝牙状态和设备端日志。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error_code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handling</w:t>
            </w:r>
          </w:p>
        </w:tc>
      </w:tr>
      <w:tr>
        <w:tc>
          <w:tcPr>
            <w:tcW w:type="dxa" w:w="2160"/>
          </w:tcPr>
          <w:p>
            <w:r>
              <w:t>E103</w:t>
            </w:r>
          </w:p>
        </w:tc>
        <w:tc>
          <w:tcPr>
            <w:tcW w:type="dxa" w:w="2160"/>
          </w:tcPr>
          <w:p>
            <w:r>
              <w:t>openSyncSession/readRecords</w:t>
            </w:r>
          </w:p>
        </w:tc>
        <w:tc>
          <w:tcPr>
            <w:tcW w:type="dxa" w:w="2160"/>
          </w:tcPr>
          <w:p>
            <w:r>
              <w:t>同步会话已过期</w:t>
            </w:r>
          </w:p>
        </w:tc>
        <w:tc>
          <w:tcPr>
            <w:tcW w:type="dxa" w:w="2160"/>
          </w:tcPr>
          <w:p>
            <w:r>
              <w:t>重新创建同步会话后再读取</w:t>
            </w:r>
          </w:p>
        </w:tc>
      </w:tr>
      <w:tr>
        <w:tc>
          <w:tcPr>
            <w:tcW w:type="dxa" w:w="2160"/>
          </w:tcPr>
          <w:p>
            <w:r>
              <w:t>E210</w:t>
            </w:r>
          </w:p>
        </w:tc>
        <w:tc>
          <w:tcPr>
            <w:tcW w:type="dxa" w:w="2160"/>
          </w:tcPr>
          <w:p>
            <w:r>
              <w:t>firmwareUpgrade</w:t>
            </w:r>
          </w:p>
        </w:tc>
        <w:tc>
          <w:tcPr>
            <w:tcW w:type="dxa" w:w="2160"/>
          </w:tcPr>
          <w:p>
            <w:r>
              <w:t>固件包版本低于设备版本</w:t>
            </w:r>
          </w:p>
        </w:tc>
        <w:tc>
          <w:tcPr>
            <w:tcW w:type="dxa" w:w="2160"/>
          </w:tcPr>
          <w:p>
            <w:r>
              <w:t>阻止升级并提示版本不匹配</w:t>
            </w:r>
          </w:p>
        </w:tc>
      </w:tr>
      <w:tr>
        <w:tc>
          <w:tcPr>
            <w:tcW w:type="dxa" w:w="2160"/>
          </w:tcPr>
          <w:p>
            <w:r>
              <w:t>E305</w:t>
            </w:r>
          </w:p>
        </w:tc>
        <w:tc>
          <w:tcPr>
            <w:tcW w:type="dxa" w:w="2160"/>
          </w:tcPr>
          <w:p>
            <w:r>
              <w:t>bindDevice</w:t>
            </w:r>
          </w:p>
        </w:tc>
        <w:tc>
          <w:tcPr>
            <w:tcW w:type="dxa" w:w="2160"/>
          </w:tcPr>
          <w:p>
            <w:r>
              <w:t>设备已绑定其他账号</w:t>
            </w:r>
          </w:p>
        </w:tc>
        <w:tc>
          <w:tcPr>
            <w:tcW w:type="dxa" w:w="2160"/>
          </w:tcPr>
          <w:p>
            <w:r>
              <w:t>返回绑定冲突并引导解除旧账号绑定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