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C220C">
      <w:pPr>
        <w:widowControl/>
        <w:shd w:val="clear" w:color="auto" w:fill="FFFFFF"/>
        <w:spacing w:line="360" w:lineRule="atLeast"/>
        <w:jc w:val="center"/>
        <w:rPr>
          <w:rFonts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1BA42FF3">
      <w:pPr>
        <w:widowControl/>
        <w:shd w:val="clear" w:color="auto" w:fill="FFFFFF"/>
        <w:spacing w:line="360" w:lineRule="atLeast"/>
        <w:jc w:val="center"/>
        <w:rPr>
          <w:rFonts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6年（第19届）</w:t>
      </w:r>
    </w:p>
    <w:p w14:paraId="628138CC">
      <w:pPr>
        <w:widowControl/>
        <w:shd w:val="clear" w:color="auto" w:fill="FFFFFF"/>
        <w:spacing w:line="360" w:lineRule="atLeast"/>
        <w:jc w:val="distribute"/>
        <w:rPr>
          <w:rFonts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185FD6FA">
      <w:pPr>
        <w:widowControl/>
        <w:shd w:val="clear" w:color="auto" w:fill="FFFFFF"/>
        <w:spacing w:line="360" w:lineRule="atLeast"/>
        <w:jc w:val="center"/>
        <w:rPr>
          <w:rFonts w:ascii="Arial" w:hAnsi="Arial" w:eastAsia="宋体" w:cs="Arial"/>
          <w:color w:val="333333"/>
          <w:kern w:val="0"/>
          <w:szCs w:val="21"/>
        </w:rPr>
      </w:pPr>
    </w:p>
    <w:p w14:paraId="2A22806E">
      <w:pPr>
        <w:widowControl/>
        <w:shd w:val="clear" w:color="auto" w:fill="FFFFFF"/>
        <w:spacing w:before="624" w:beforeLines="200" w:after="624" w:afterLines="200" w:line="360" w:lineRule="atLeast"/>
        <w:jc w:val="center"/>
        <w:rPr>
          <w:rFonts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大数据实践赛作品报告</w:t>
      </w:r>
    </w:p>
    <w:p w14:paraId="002E59B2">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2026024905　　　　　　　　　　　　</w:t>
      </w:r>
    </w:p>
    <w:p w14:paraId="3B6C7181">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天穹智算——区域碳汇时空溯源与演化流式计算平台</w:t>
      </w:r>
    </w:p>
    <w:p w14:paraId="29B60D2B">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column">
                  <wp:posOffset>36830</wp:posOffset>
                </wp:positionH>
                <wp:positionV relativeFrom="paragraph">
                  <wp:posOffset>476885</wp:posOffset>
                </wp:positionV>
                <wp:extent cx="5200650" cy="2098040"/>
                <wp:effectExtent l="4445" t="4445" r="5080" b="12065"/>
                <wp:wrapTopAndBottom/>
                <wp:docPr id="2" name="文本框 2"/>
                <wp:cNvGraphicFramePr/>
                <a:graphic xmlns:a="http://schemas.openxmlformats.org/drawingml/2006/main">
                  <a:graphicData uri="http://schemas.microsoft.com/office/word/2010/wordprocessingShape">
                    <wps:wsp>
                      <wps:cNvSpPr txBox="1"/>
                      <wps:spPr>
                        <a:xfrm>
                          <a:off x="0" y="0"/>
                          <a:ext cx="5200650" cy="2098040"/>
                        </a:xfrm>
                        <a:prstGeom prst="rect">
                          <a:avLst/>
                        </a:prstGeom>
                        <a:solidFill>
                          <a:schemeClr val="lt1"/>
                        </a:solidFill>
                        <a:ln w="6350">
                          <a:solidFill>
                            <a:prstClr val="black"/>
                          </a:solidFill>
                        </a:ln>
                      </wps:spPr>
                      <wps:txbx>
                        <w:txbxContent>
                          <w:p w14:paraId="6D24EBDB">
                            <w:pPr>
                              <w:rPr>
                                <w:rFonts w:ascii="黑体" w:hAnsi="黑体" w:eastAsia="黑体"/>
                                <w:sz w:val="28"/>
                                <w:szCs w:val="28"/>
                              </w:rPr>
                            </w:pPr>
                            <w:r>
                              <w:rPr>
                                <w:rFonts w:hint="eastAsia" w:ascii="黑体" w:hAnsi="黑体" w:eastAsia="黑体"/>
                                <w:sz w:val="28"/>
                                <w:szCs w:val="28"/>
                              </w:rPr>
                              <w:t>填写说明：</w:t>
                            </w:r>
                          </w:p>
                          <w:p w14:paraId="0FBE8299">
                            <w:pPr>
                              <w:pStyle w:val="26"/>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3B42CC41">
                            <w:pPr>
                              <w:pStyle w:val="26"/>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14:paraId="1B7872AB">
                            <w:pPr>
                              <w:pStyle w:val="26"/>
                              <w:numPr>
                                <w:ilvl w:val="0"/>
                                <w:numId w:val="2"/>
                              </w:numPr>
                              <w:ind w:firstLineChars="0"/>
                              <w:rPr>
                                <w:rFonts w:ascii="华文楷体" w:hAnsi="华文楷体" w:eastAsia="华文楷体"/>
                              </w:rPr>
                            </w:pPr>
                            <w:r>
                              <w:rPr>
                                <w:rFonts w:hint="eastAsia" w:ascii="华文楷体" w:hAnsi="华文楷体" w:eastAsia="华文楷体"/>
                              </w:rPr>
                              <w:t>提交文档时，以PDF格式提交；</w:t>
                            </w:r>
                          </w:p>
                          <w:p w14:paraId="3BF55633">
                            <w:pPr>
                              <w:pStyle w:val="26"/>
                              <w:numPr>
                                <w:ilvl w:val="0"/>
                                <w:numId w:val="2"/>
                              </w:numPr>
                              <w:ind w:firstLineChars="0"/>
                              <w:rPr>
                                <w:rFonts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14:paraId="000AC2C9">
                            <w:pPr>
                              <w:pStyle w:val="26"/>
                              <w:numPr>
                                <w:ilvl w:val="0"/>
                                <w:numId w:val="2"/>
                              </w:numPr>
                              <w:ind w:firstLineChars="0"/>
                              <w:rPr>
                                <w:rFonts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pt;margin-top:37.55pt;height:165.2pt;width:409.5pt;mso-wrap-distance-bottom:0pt;mso-wrap-distance-top:0pt;z-index:251659264;mso-width-relative:page;mso-height-relative:page;" fillcolor="#FFFFFF [3201]" filled="t" stroked="t" coordsize="21600,21600" o:gfxdata="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uHMonWAAAA&#10;CAEAAA8AAAAAAAAAAQAgAAAAIgAAAGRycy9kb3ducmV2LnhtbFBLAQIUABQAAAAIAIdO4kBZnkgh&#10;WAIAALgEAAAOAAAAAAAAAAEAIAAAACUBAABkcnMvZTJvRG9jLnhtbFBLBQYAAAAABgAGAFkBAADv&#10;BQAAAAA=&#10;">
                <v:fill on="t" focussize="0,0"/>
                <v:stroke weight="0.5pt" color="#000000" joinstyle="round"/>
                <v:imagedata o:title=""/>
                <o:lock v:ext="edit" aspectratio="f"/>
                <v:textbox>
                  <w:txbxContent>
                    <w:p w14:paraId="6D24EBDB">
                      <w:pPr>
                        <w:rPr>
                          <w:rFonts w:ascii="黑体" w:hAnsi="黑体" w:eastAsia="黑体"/>
                          <w:sz w:val="28"/>
                          <w:szCs w:val="28"/>
                        </w:rPr>
                      </w:pPr>
                      <w:r>
                        <w:rPr>
                          <w:rFonts w:hint="eastAsia" w:ascii="黑体" w:hAnsi="黑体" w:eastAsia="黑体"/>
                          <w:sz w:val="28"/>
                          <w:szCs w:val="28"/>
                        </w:rPr>
                        <w:t>填写说明：</w:t>
                      </w:r>
                    </w:p>
                    <w:p w14:paraId="0FBE8299">
                      <w:pPr>
                        <w:pStyle w:val="26"/>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3B42CC41">
                      <w:pPr>
                        <w:pStyle w:val="26"/>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14:paraId="1B7872AB">
                      <w:pPr>
                        <w:pStyle w:val="26"/>
                        <w:numPr>
                          <w:ilvl w:val="0"/>
                          <w:numId w:val="2"/>
                        </w:numPr>
                        <w:ind w:firstLineChars="0"/>
                        <w:rPr>
                          <w:rFonts w:ascii="华文楷体" w:hAnsi="华文楷体" w:eastAsia="华文楷体"/>
                        </w:rPr>
                      </w:pPr>
                      <w:r>
                        <w:rPr>
                          <w:rFonts w:hint="eastAsia" w:ascii="华文楷体" w:hAnsi="华文楷体" w:eastAsia="华文楷体"/>
                        </w:rPr>
                        <w:t>提交文档时，以PDF格式提交；</w:t>
                      </w:r>
                    </w:p>
                    <w:p w14:paraId="3BF55633">
                      <w:pPr>
                        <w:pStyle w:val="26"/>
                        <w:numPr>
                          <w:ilvl w:val="0"/>
                          <w:numId w:val="2"/>
                        </w:numPr>
                        <w:ind w:firstLineChars="0"/>
                        <w:rPr>
                          <w:rFonts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14:paraId="000AC2C9">
                      <w:pPr>
                        <w:pStyle w:val="26"/>
                        <w:numPr>
                          <w:ilvl w:val="0"/>
                          <w:numId w:val="2"/>
                        </w:numPr>
                        <w:ind w:firstLineChars="0"/>
                        <w:rPr>
                          <w:rFonts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2026.4</w:t>
      </w:r>
      <w:r>
        <w:rPr>
          <w:rFonts w:hint="eastAsia" w:ascii="宋体" w:hAnsi="宋体" w:eastAsia="宋体" w:cs="Arial"/>
          <w:color w:val="333333"/>
          <w:kern w:val="0"/>
          <w:sz w:val="32"/>
          <w:szCs w:val="32"/>
          <w:u w:val="single"/>
        </w:rPr>
        <w:t>　　　　　　　　　　　　　</w:t>
      </w:r>
    </w:p>
    <w:sdt>
      <w:sdtPr>
        <w:rPr>
          <w:rFonts w:ascii="微软雅黑" w:hAnsi="微软雅黑" w:eastAsia="微软雅黑"/>
          <w:b/>
          <w:bCs/>
          <w:sz w:val="24"/>
          <w:szCs w:val="28"/>
        </w:rPr>
        <w:id w:val="-1"/>
        <w:docPartObj>
          <w:docPartGallery w:val="Table of Contents"/>
          <w:docPartUnique/>
        </w:docPartObj>
      </w:sdtPr>
      <w:sdtEndPr>
        <w:rPr>
          <w:rFonts w:ascii="Arial" w:hAnsi="Arial" w:eastAsia="黑体"/>
          <w:b w:val="0"/>
          <w:bCs w:val="0"/>
          <w:sz w:val="21"/>
          <w:szCs w:val="22"/>
          <w:lang w:val="zh-CN"/>
        </w:rPr>
      </w:sdtEndPr>
      <w:sdtContent>
        <w:p w14:paraId="7F04DB8D">
          <w:pPr>
            <w:jc w:val="center"/>
            <w:rPr>
              <w:rFonts w:ascii="微软雅黑" w:hAnsi="微软雅黑" w:eastAsia="微软雅黑"/>
              <w:b/>
              <w:bCs/>
              <w:sz w:val="24"/>
              <w:szCs w:val="28"/>
            </w:rPr>
          </w:pPr>
        </w:p>
        <w:p w14:paraId="12FB857D">
          <w:pPr>
            <w:jc w:val="center"/>
            <w:rPr>
              <w:rFonts w:ascii="微软雅黑" w:hAnsi="微软雅黑" w:eastAsia="微软雅黑"/>
              <w:b/>
              <w:bCs/>
              <w:sz w:val="24"/>
              <w:szCs w:val="28"/>
            </w:rPr>
          </w:pPr>
        </w:p>
        <w:p w14:paraId="0DFDADE0">
          <w:pPr>
            <w:jc w:val="center"/>
            <w:rPr>
              <w:rFonts w:ascii="微软雅黑" w:hAnsi="微软雅黑" w:eastAsia="微软雅黑"/>
              <w:b/>
              <w:bCs/>
              <w:sz w:val="24"/>
              <w:szCs w:val="28"/>
            </w:rPr>
          </w:pPr>
        </w:p>
        <w:p w14:paraId="31E70061">
          <w:pPr>
            <w:jc w:val="center"/>
            <w:rPr>
              <w:rFonts w:ascii="微软雅黑" w:hAnsi="微软雅黑" w:eastAsia="微软雅黑"/>
              <w:b/>
              <w:bCs/>
              <w:sz w:val="40"/>
              <w:szCs w:val="40"/>
            </w:rPr>
            <w:sectPr>
              <w:pgSz w:w="11906" w:h="16838"/>
              <w:pgMar w:top="1440" w:right="1800" w:bottom="1440" w:left="1800" w:header="851" w:footer="992" w:gutter="0"/>
              <w:pgNumType w:start="1"/>
              <w:cols w:space="425" w:num="1"/>
              <w:docGrid w:type="lines" w:linePitch="312" w:charSpace="0"/>
            </w:sectPr>
          </w:pPr>
        </w:p>
        <w:p w14:paraId="21168290">
          <w:pPr>
            <w:jc w:val="center"/>
            <w:rPr>
              <w:rFonts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7AB92E94">
          <w:pPr>
            <w:jc w:val="center"/>
            <w:rPr>
              <w:rFonts w:ascii="微软雅黑" w:hAnsi="微软雅黑" w:eastAsia="微软雅黑"/>
              <w:b/>
              <w:bCs/>
              <w:szCs w:val="21"/>
            </w:rPr>
          </w:pPr>
        </w:p>
        <w:p w14:paraId="3B094CE8">
          <w:pPr>
            <w:pStyle w:val="17"/>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bCs/>
              <w:szCs w:val="28"/>
              <w:lang w:val="zh-CN"/>
            </w:rPr>
            <w:fldChar w:fldCharType="begin"/>
          </w:r>
          <w:r>
            <w:rPr>
              <w:rFonts w:ascii="华文楷体" w:hAnsi="华文楷体" w:eastAsia="华文楷体"/>
              <w:bCs/>
              <w:szCs w:val="28"/>
              <w:lang w:val="zh-CN"/>
            </w:rPr>
            <w:instrText xml:space="preserve"> HYPERLINK \l _Toc11058 </w:instrText>
          </w:r>
          <w:r>
            <w:rPr>
              <w:rFonts w:ascii="华文楷体" w:hAnsi="华文楷体" w:eastAsia="华文楷体"/>
              <w:bCs/>
              <w:szCs w:val="28"/>
              <w:lang w:val="zh-CN"/>
            </w:rPr>
            <w:fldChar w:fldCharType="separate"/>
          </w:r>
          <w:r>
            <w:rPr>
              <w:rFonts w:hint="eastAsia" w:ascii="Arial" w:hAnsi="Arial" w:eastAsia="黑体" w:cstheme="minorBidi"/>
              <w:bCs/>
              <w:kern w:val="44"/>
              <w:szCs w:val="44"/>
              <w:lang w:val="zh-CN" w:eastAsia="zh-CN" w:bidi="ar-SA"/>
            </w:rPr>
            <w:t>第1章</w:t>
          </w:r>
          <w:r>
            <w:rPr>
              <w:rFonts w:hint="eastAsia" w:cstheme="minorBidi"/>
              <w:bCs/>
              <w:kern w:val="44"/>
              <w:szCs w:val="44"/>
              <w:lang w:val="en-US" w:eastAsia="zh-CN" w:bidi="ar-SA"/>
            </w:rPr>
            <w:t xml:space="preserve"> </w:t>
          </w:r>
          <w:r>
            <w:t>作品概述</w:t>
          </w:r>
          <w:r>
            <w:tab/>
          </w:r>
          <w:r>
            <w:fldChar w:fldCharType="begin"/>
          </w:r>
          <w:r>
            <w:instrText xml:space="preserve"> PAGEREF _Toc11058 \h </w:instrText>
          </w:r>
          <w:r>
            <w:fldChar w:fldCharType="separate"/>
          </w:r>
          <w:r>
            <w:t>1</w:t>
          </w:r>
          <w:r>
            <w:fldChar w:fldCharType="end"/>
          </w:r>
          <w:r>
            <w:rPr>
              <w:rFonts w:ascii="华文楷体" w:hAnsi="华文楷体" w:eastAsia="华文楷体"/>
              <w:bCs/>
              <w:szCs w:val="28"/>
              <w:lang w:val="zh-CN"/>
            </w:rPr>
            <w:fldChar w:fldCharType="end"/>
          </w:r>
        </w:p>
        <w:p w14:paraId="57092ED3">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_Toc29640 </w:instrText>
          </w:r>
          <w:r>
            <w:rPr>
              <w:rFonts w:ascii="华文楷体" w:hAnsi="华文楷体" w:eastAsia="华文楷体"/>
              <w:lang w:val="zh-CN"/>
            </w:rPr>
            <w:fldChar w:fldCharType="separate"/>
          </w:r>
          <w:r>
            <w:rPr>
              <w:rFonts w:hint="eastAsia" w:ascii="Arial" w:hAnsi="Arial" w:eastAsia="黑体" w:cstheme="minorBidi"/>
              <w:bCs/>
              <w:kern w:val="44"/>
              <w:szCs w:val="44"/>
              <w:lang w:val="zh-CN" w:eastAsia="zh-CN" w:bidi="ar-SA"/>
            </w:rPr>
            <w:t>第2章</w:t>
          </w:r>
          <w:r>
            <w:rPr>
              <w:rFonts w:hint="eastAsia" w:cstheme="minorBidi"/>
              <w:bCs/>
              <w:kern w:val="44"/>
              <w:szCs w:val="44"/>
              <w:lang w:val="en-US" w:eastAsia="zh-CN" w:bidi="ar-SA"/>
            </w:rPr>
            <w:t xml:space="preserve"> </w:t>
          </w:r>
          <w:r>
            <w:t>问题分析</w:t>
          </w:r>
          <w:r>
            <w:tab/>
          </w:r>
          <w:r>
            <w:fldChar w:fldCharType="begin"/>
          </w:r>
          <w:r>
            <w:instrText xml:space="preserve"> PAGEREF _Toc29640 \h </w:instrText>
          </w:r>
          <w:r>
            <w:fldChar w:fldCharType="separate"/>
          </w:r>
          <w:r>
            <w:t>1</w:t>
          </w:r>
          <w:r>
            <w:fldChar w:fldCharType="end"/>
          </w:r>
          <w:r>
            <w:rPr>
              <w:rFonts w:ascii="华文楷体" w:hAnsi="华文楷体" w:eastAsia="华文楷体"/>
              <w:lang w:val="zh-CN"/>
            </w:rPr>
            <w:fldChar w:fldCharType="end"/>
          </w:r>
        </w:p>
        <w:p w14:paraId="005E2714">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_Toc6657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2.1</w:t>
          </w:r>
          <w:r>
            <w:t>问题来源</w:t>
          </w:r>
          <w:r>
            <w:tab/>
          </w:r>
          <w:r>
            <w:fldChar w:fldCharType="begin"/>
          </w:r>
          <w:r>
            <w:instrText xml:space="preserve"> PAGEREF _Toc6657 \h </w:instrText>
          </w:r>
          <w:r>
            <w:fldChar w:fldCharType="separate"/>
          </w:r>
          <w:r>
            <w:t>1</w:t>
          </w:r>
          <w:r>
            <w:fldChar w:fldCharType="end"/>
          </w:r>
          <w:r>
            <w:rPr>
              <w:rFonts w:ascii="华文楷体" w:hAnsi="华文楷体" w:eastAsia="华文楷体"/>
              <w:lang w:val="zh-CN"/>
            </w:rPr>
            <w:fldChar w:fldCharType="end"/>
          </w:r>
        </w:p>
        <w:p w14:paraId="1FBD4C8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_Toc30683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2.2</w:t>
          </w:r>
          <w:r>
            <w:t>现有解决方案</w:t>
          </w:r>
          <w:r>
            <w:tab/>
          </w:r>
          <w:r>
            <w:fldChar w:fldCharType="begin"/>
          </w:r>
          <w:r>
            <w:instrText xml:space="preserve"> PAGEREF _Toc30683 \h </w:instrText>
          </w:r>
          <w:r>
            <w:fldChar w:fldCharType="separate"/>
          </w:r>
          <w:r>
            <w:t>2</w:t>
          </w:r>
          <w:r>
            <w:fldChar w:fldCharType="end"/>
          </w:r>
          <w:r>
            <w:rPr>
              <w:rFonts w:ascii="华文楷体" w:hAnsi="华文楷体" w:eastAsia="华文楷体"/>
              <w:lang w:val="zh-CN"/>
            </w:rPr>
            <w:fldChar w:fldCharType="end"/>
          </w:r>
        </w:p>
        <w:p w14:paraId="1757CF2F">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_Toc15217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2.3</w:t>
          </w:r>
          <w:r>
            <w:t>本作品要解决的痛点问题</w:t>
          </w:r>
          <w:r>
            <w:tab/>
          </w:r>
          <w:r>
            <w:fldChar w:fldCharType="begin"/>
          </w:r>
          <w:r>
            <w:instrText xml:space="preserve"> PAGEREF _Toc15217 \h </w:instrText>
          </w:r>
          <w:r>
            <w:fldChar w:fldCharType="separate"/>
          </w:r>
          <w:r>
            <w:t>2</w:t>
          </w:r>
          <w:r>
            <w:fldChar w:fldCharType="end"/>
          </w:r>
          <w:r>
            <w:rPr>
              <w:rFonts w:ascii="华文楷体" w:hAnsi="华文楷体" w:eastAsia="华文楷体"/>
              <w:lang w:val="zh-CN"/>
            </w:rPr>
            <w:fldChar w:fldCharType="end"/>
          </w:r>
        </w:p>
        <w:p w14:paraId="2785ABDC">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_Toc11570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2.4</w:t>
          </w:r>
          <w:r>
            <w:t>解决问题的思路</w:t>
          </w:r>
          <w:r>
            <w:tab/>
          </w:r>
          <w:r>
            <w:fldChar w:fldCharType="begin"/>
          </w:r>
          <w:r>
            <w:instrText xml:space="preserve"> PAGEREF _Toc11570 \h </w:instrText>
          </w:r>
          <w:r>
            <w:fldChar w:fldCharType="separate"/>
          </w:r>
          <w:r>
            <w:t>2</w:t>
          </w:r>
          <w:r>
            <w:fldChar w:fldCharType="end"/>
          </w:r>
          <w:r>
            <w:rPr>
              <w:rFonts w:ascii="华文楷体" w:hAnsi="华文楷体" w:eastAsia="华文楷体"/>
              <w:lang w:val="zh-CN"/>
            </w:rPr>
            <w:fldChar w:fldCharType="end"/>
          </w:r>
        </w:p>
        <w:p w14:paraId="64FDD0CC">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_Toc26259 </w:instrText>
          </w:r>
          <w:r>
            <w:rPr>
              <w:rFonts w:ascii="华文楷体" w:hAnsi="华文楷体" w:eastAsia="华文楷体"/>
              <w:lang w:val="zh-CN"/>
            </w:rPr>
            <w:fldChar w:fldCharType="separate"/>
          </w:r>
          <w:r>
            <w:rPr>
              <w:rFonts w:hint="eastAsia" w:ascii="Arial" w:hAnsi="Arial" w:eastAsia="黑体" w:cstheme="minorBidi"/>
              <w:bCs/>
              <w:kern w:val="44"/>
              <w:szCs w:val="44"/>
              <w:lang w:val="zh-CN" w:eastAsia="zh-CN" w:bidi="ar-SA"/>
            </w:rPr>
            <w:t>第3章</w:t>
          </w:r>
          <w:r>
            <w:rPr>
              <w:rFonts w:hint="eastAsia" w:cstheme="minorBidi"/>
              <w:bCs/>
              <w:kern w:val="44"/>
              <w:szCs w:val="44"/>
              <w:lang w:val="en-US" w:eastAsia="zh-CN" w:bidi="ar-SA"/>
            </w:rPr>
            <w:t xml:space="preserve"> </w:t>
          </w:r>
          <w:r>
            <w:t>技术方案</w:t>
          </w:r>
          <w:r>
            <w:tab/>
          </w:r>
          <w:r>
            <w:fldChar w:fldCharType="begin"/>
          </w:r>
          <w:r>
            <w:instrText xml:space="preserve"> PAGEREF _Toc26259 \h </w:instrText>
          </w:r>
          <w:r>
            <w:fldChar w:fldCharType="separate"/>
          </w:r>
          <w:r>
            <w:t>3</w:t>
          </w:r>
          <w:r>
            <w:fldChar w:fldCharType="end"/>
          </w:r>
          <w:r>
            <w:rPr>
              <w:rFonts w:ascii="华文楷体" w:hAnsi="华文楷体" w:eastAsia="华文楷体"/>
              <w:lang w:val="zh-CN"/>
            </w:rPr>
            <w:fldChar w:fldCharType="end"/>
          </w:r>
        </w:p>
        <w:p w14:paraId="2E628E11">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_Toc495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3.1</w:t>
          </w:r>
          <w:r>
            <w:t>总体架构设计</w:t>
          </w:r>
          <w:r>
            <w:tab/>
          </w:r>
          <w:r>
            <w:fldChar w:fldCharType="begin"/>
          </w:r>
          <w:r>
            <w:instrText xml:space="preserve"> PAGEREF _Toc495 \h </w:instrText>
          </w:r>
          <w:r>
            <w:fldChar w:fldCharType="separate"/>
          </w:r>
          <w:r>
            <w:t>3</w:t>
          </w:r>
          <w:r>
            <w:fldChar w:fldCharType="end"/>
          </w:r>
          <w:r>
            <w:rPr>
              <w:rFonts w:ascii="华文楷体" w:hAnsi="华文楷体" w:eastAsia="华文楷体"/>
              <w:lang w:val="zh-CN"/>
            </w:rPr>
            <w:fldChar w:fldCharType="end"/>
          </w:r>
        </w:p>
        <w:p w14:paraId="159D481D">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_Toc16146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3.2</w:t>
          </w:r>
          <w:r>
            <w:t>数据融合、图建模与平台落地流程</w:t>
          </w:r>
          <w:r>
            <w:tab/>
          </w:r>
          <w:r>
            <w:fldChar w:fldCharType="begin"/>
          </w:r>
          <w:r>
            <w:instrText xml:space="preserve"> PAGEREF _Toc16146 \h </w:instrText>
          </w:r>
          <w:r>
            <w:fldChar w:fldCharType="separate"/>
          </w:r>
          <w:r>
            <w:t>4</w:t>
          </w:r>
          <w:r>
            <w:fldChar w:fldCharType="end"/>
          </w:r>
          <w:r>
            <w:rPr>
              <w:rFonts w:ascii="华文楷体" w:hAnsi="华文楷体" w:eastAsia="华文楷体"/>
              <w:lang w:val="zh-CN"/>
            </w:rPr>
            <w:fldChar w:fldCharType="end"/>
          </w:r>
        </w:p>
        <w:p w14:paraId="2BBB9335">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_Toc26868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3.3</w:t>
          </w:r>
          <w:r>
            <w:t>核心建模策略与参数组织</w:t>
          </w:r>
          <w:r>
            <w:tab/>
          </w:r>
          <w:r>
            <w:fldChar w:fldCharType="begin"/>
          </w:r>
          <w:r>
            <w:instrText xml:space="preserve"> PAGEREF _Toc26868 \h </w:instrText>
          </w:r>
          <w:r>
            <w:fldChar w:fldCharType="separate"/>
          </w:r>
          <w:r>
            <w:t>5</w:t>
          </w:r>
          <w:r>
            <w:fldChar w:fldCharType="end"/>
          </w:r>
          <w:r>
            <w:rPr>
              <w:rFonts w:ascii="华文楷体" w:hAnsi="华文楷体" w:eastAsia="华文楷体"/>
              <w:lang w:val="zh-CN"/>
            </w:rPr>
            <w:fldChar w:fldCharType="end"/>
          </w:r>
        </w:p>
        <w:p w14:paraId="7608C60C">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_Toc23196 </w:instrText>
          </w:r>
          <w:r>
            <w:rPr>
              <w:rFonts w:ascii="华文楷体" w:hAnsi="华文楷体" w:eastAsia="华文楷体"/>
              <w:lang w:val="zh-CN"/>
            </w:rPr>
            <w:fldChar w:fldCharType="separate"/>
          </w:r>
          <w:r>
            <w:rPr>
              <w:rFonts w:hint="eastAsia" w:ascii="Arial" w:hAnsi="Arial" w:eastAsia="黑体" w:cstheme="minorBidi"/>
              <w:bCs/>
              <w:kern w:val="44"/>
              <w:szCs w:val="44"/>
              <w:lang w:val="zh-CN" w:eastAsia="zh-CN" w:bidi="ar-SA"/>
            </w:rPr>
            <w:t>第4章</w:t>
          </w:r>
          <w:r>
            <w:rPr>
              <w:rFonts w:hint="eastAsia" w:cstheme="minorBidi"/>
              <w:bCs/>
              <w:kern w:val="44"/>
              <w:szCs w:val="44"/>
              <w:lang w:val="en-US" w:eastAsia="zh-CN" w:bidi="ar-SA"/>
            </w:rPr>
            <w:t xml:space="preserve"> </w:t>
          </w:r>
          <w:r>
            <w:t>系统实现</w:t>
          </w:r>
          <w:r>
            <w:tab/>
          </w:r>
          <w:r>
            <w:fldChar w:fldCharType="begin"/>
          </w:r>
          <w:r>
            <w:instrText xml:space="preserve"> PAGEREF _Toc23196 \h </w:instrText>
          </w:r>
          <w:r>
            <w:fldChar w:fldCharType="separate"/>
          </w:r>
          <w:r>
            <w:t>6</w:t>
          </w:r>
          <w:r>
            <w:fldChar w:fldCharType="end"/>
          </w:r>
          <w:r>
            <w:rPr>
              <w:rFonts w:ascii="华文楷体" w:hAnsi="华文楷体" w:eastAsia="华文楷体"/>
              <w:lang w:val="zh-CN"/>
            </w:rPr>
            <w:fldChar w:fldCharType="end"/>
          </w:r>
        </w:p>
        <w:p w14:paraId="407FA359">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_Toc15913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4.1</w:t>
          </w:r>
          <w:r>
            <w:t>多源季度数据重建与标准化</w:t>
          </w:r>
          <w:r>
            <w:tab/>
          </w:r>
          <w:r>
            <w:fldChar w:fldCharType="begin"/>
          </w:r>
          <w:r>
            <w:instrText xml:space="preserve"> PAGEREF _Toc15913 \h </w:instrText>
          </w:r>
          <w:r>
            <w:fldChar w:fldCharType="separate"/>
          </w:r>
          <w:r>
            <w:t>6</w:t>
          </w:r>
          <w:r>
            <w:fldChar w:fldCharType="end"/>
          </w:r>
          <w:r>
            <w:rPr>
              <w:rFonts w:ascii="华文楷体" w:hAnsi="华文楷体" w:eastAsia="华文楷体"/>
              <w:lang w:val="zh-CN"/>
            </w:rPr>
            <w:fldChar w:fldCharType="end"/>
          </w:r>
        </w:p>
        <w:p w14:paraId="2E93B92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_Toc5800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4.2</w:t>
          </w:r>
          <w:r>
            <w:t>推理服务与情景推演实现</w:t>
          </w:r>
          <w:r>
            <w:tab/>
          </w:r>
          <w:r>
            <w:fldChar w:fldCharType="begin"/>
          </w:r>
          <w:r>
            <w:instrText xml:space="preserve"> PAGEREF _Toc5800 \h </w:instrText>
          </w:r>
          <w:r>
            <w:fldChar w:fldCharType="separate"/>
          </w:r>
          <w:r>
            <w:t>7</w:t>
          </w:r>
          <w:r>
            <w:fldChar w:fldCharType="end"/>
          </w:r>
          <w:r>
            <w:rPr>
              <w:rFonts w:ascii="华文楷体" w:hAnsi="华文楷体" w:eastAsia="华文楷体"/>
              <w:lang w:val="zh-CN"/>
            </w:rPr>
            <w:fldChar w:fldCharType="end"/>
          </w:r>
        </w:p>
        <w:p w14:paraId="1046C9AF">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_Toc15784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4.3</w:t>
          </w:r>
          <w:r>
            <w:t>前端交互与交付形态</w:t>
          </w:r>
          <w:r>
            <w:tab/>
          </w:r>
          <w:r>
            <w:fldChar w:fldCharType="begin"/>
          </w:r>
          <w:r>
            <w:instrText xml:space="preserve"> PAGEREF _Toc15784 \h </w:instrText>
          </w:r>
          <w:r>
            <w:fldChar w:fldCharType="separate"/>
          </w:r>
          <w:r>
            <w:t>7</w:t>
          </w:r>
          <w:r>
            <w:fldChar w:fldCharType="end"/>
          </w:r>
          <w:r>
            <w:rPr>
              <w:rFonts w:ascii="华文楷体" w:hAnsi="华文楷体" w:eastAsia="华文楷体"/>
              <w:lang w:val="zh-CN"/>
            </w:rPr>
            <w:fldChar w:fldCharType="end"/>
          </w:r>
        </w:p>
        <w:p w14:paraId="58A3AFA5">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_Toc18780 </w:instrText>
          </w:r>
          <w:r>
            <w:rPr>
              <w:rFonts w:ascii="华文楷体" w:hAnsi="华文楷体" w:eastAsia="华文楷体"/>
              <w:lang w:val="zh-CN"/>
            </w:rPr>
            <w:fldChar w:fldCharType="separate"/>
          </w:r>
          <w:r>
            <w:rPr>
              <w:rFonts w:hint="eastAsia" w:ascii="Arial" w:hAnsi="Arial" w:eastAsia="黑体" w:cstheme="minorBidi"/>
              <w:bCs/>
              <w:kern w:val="44"/>
              <w:szCs w:val="44"/>
              <w:lang w:val="zh-CN" w:eastAsia="zh-CN" w:bidi="ar-SA"/>
            </w:rPr>
            <w:t>第5章</w:t>
          </w:r>
          <w:r>
            <w:rPr>
              <w:rFonts w:hint="eastAsia" w:cstheme="minorBidi"/>
              <w:bCs/>
              <w:kern w:val="44"/>
              <w:szCs w:val="44"/>
              <w:lang w:val="en-US" w:eastAsia="zh-CN" w:bidi="ar-SA"/>
            </w:rPr>
            <w:t xml:space="preserve"> </w:t>
          </w:r>
          <w:r>
            <w:t>智能体使用情况</w:t>
          </w:r>
          <w:r>
            <w:tab/>
          </w:r>
          <w:r>
            <w:fldChar w:fldCharType="begin"/>
          </w:r>
          <w:r>
            <w:instrText xml:space="preserve"> PAGEREF _Toc18780 \h </w:instrText>
          </w:r>
          <w:r>
            <w:fldChar w:fldCharType="separate"/>
          </w:r>
          <w:r>
            <w:t>8</w:t>
          </w:r>
          <w:r>
            <w:fldChar w:fldCharType="end"/>
          </w:r>
          <w:r>
            <w:rPr>
              <w:rFonts w:ascii="华文楷体" w:hAnsi="华文楷体" w:eastAsia="华文楷体"/>
              <w:lang w:val="zh-CN"/>
            </w:rPr>
            <w:fldChar w:fldCharType="end"/>
          </w:r>
        </w:p>
        <w:p w14:paraId="6AADBE4A">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_Toc11670 </w:instrText>
          </w:r>
          <w:r>
            <w:rPr>
              <w:rFonts w:ascii="华文楷体" w:hAnsi="华文楷体" w:eastAsia="华文楷体"/>
              <w:lang w:val="zh-CN"/>
            </w:rPr>
            <w:fldChar w:fldCharType="separate"/>
          </w:r>
          <w:r>
            <w:rPr>
              <w:rFonts w:hint="eastAsia" w:ascii="Arial" w:hAnsi="Arial" w:eastAsia="黑体" w:cstheme="minorBidi"/>
              <w:bCs/>
              <w:kern w:val="44"/>
              <w:szCs w:val="44"/>
              <w:lang w:val="zh-CN" w:eastAsia="zh-CN" w:bidi="ar-SA"/>
            </w:rPr>
            <w:t>第6章</w:t>
          </w:r>
          <w:r>
            <w:rPr>
              <w:rFonts w:hint="eastAsia" w:cstheme="minorBidi"/>
              <w:bCs/>
              <w:kern w:val="44"/>
              <w:szCs w:val="44"/>
              <w:lang w:val="en-US" w:eastAsia="zh-CN" w:bidi="ar-SA"/>
            </w:rPr>
            <w:t xml:space="preserve"> </w:t>
          </w:r>
          <w:r>
            <w:t>测试分析</w:t>
          </w:r>
          <w:r>
            <w:tab/>
          </w:r>
          <w:r>
            <w:fldChar w:fldCharType="begin"/>
          </w:r>
          <w:r>
            <w:instrText xml:space="preserve"> PAGEREF _Toc11670 \h </w:instrText>
          </w:r>
          <w:r>
            <w:fldChar w:fldCharType="separate"/>
          </w:r>
          <w:r>
            <w:t>8</w:t>
          </w:r>
          <w:r>
            <w:fldChar w:fldCharType="end"/>
          </w:r>
          <w:r>
            <w:rPr>
              <w:rFonts w:ascii="华文楷体" w:hAnsi="华文楷体" w:eastAsia="华文楷体"/>
              <w:lang w:val="zh-CN"/>
            </w:rPr>
            <w:fldChar w:fldCharType="end"/>
          </w:r>
        </w:p>
        <w:p w14:paraId="3358D83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_Toc3736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6.1</w:t>
          </w:r>
          <w:r>
            <w:t>平台联调与数据完整性验证</w:t>
          </w:r>
          <w:r>
            <w:tab/>
          </w:r>
          <w:r>
            <w:fldChar w:fldCharType="begin"/>
          </w:r>
          <w:r>
            <w:instrText xml:space="preserve"> PAGEREF _Toc3736 \h </w:instrText>
          </w:r>
          <w:r>
            <w:fldChar w:fldCharType="separate"/>
          </w:r>
          <w:r>
            <w:t>8</w:t>
          </w:r>
          <w:r>
            <w:fldChar w:fldCharType="end"/>
          </w:r>
          <w:r>
            <w:rPr>
              <w:rFonts w:ascii="华文楷体" w:hAnsi="华文楷体" w:eastAsia="华文楷体"/>
              <w:lang w:val="zh-CN"/>
            </w:rPr>
            <w:fldChar w:fldCharType="end"/>
          </w:r>
        </w:p>
        <w:p w14:paraId="0CD977C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_Toc6002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6.2</w:t>
          </w:r>
          <w:r>
            <w:t>模型效果对比</w:t>
          </w:r>
          <w:r>
            <w:tab/>
          </w:r>
          <w:r>
            <w:fldChar w:fldCharType="begin"/>
          </w:r>
          <w:r>
            <w:instrText xml:space="preserve"> PAGEREF _Toc6002 \h </w:instrText>
          </w:r>
          <w:r>
            <w:fldChar w:fldCharType="separate"/>
          </w:r>
          <w:r>
            <w:t>9</w:t>
          </w:r>
          <w:r>
            <w:fldChar w:fldCharType="end"/>
          </w:r>
          <w:r>
            <w:rPr>
              <w:rFonts w:ascii="华文楷体" w:hAnsi="华文楷体" w:eastAsia="华文楷体"/>
              <w:lang w:val="zh-CN"/>
            </w:rPr>
            <w:fldChar w:fldCharType="end"/>
          </w:r>
        </w:p>
        <w:p w14:paraId="02CD7D46">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_Toc14967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6.3</w:t>
          </w:r>
          <w:r>
            <w:t>优化复验与结果分析</w:t>
          </w:r>
          <w:r>
            <w:tab/>
          </w:r>
          <w:r>
            <w:fldChar w:fldCharType="begin"/>
          </w:r>
          <w:r>
            <w:instrText xml:space="preserve"> PAGEREF _Toc14967 \h </w:instrText>
          </w:r>
          <w:r>
            <w:fldChar w:fldCharType="separate"/>
          </w:r>
          <w:r>
            <w:t>10</w:t>
          </w:r>
          <w:r>
            <w:fldChar w:fldCharType="end"/>
          </w:r>
          <w:r>
            <w:rPr>
              <w:rFonts w:ascii="华文楷体" w:hAnsi="华文楷体" w:eastAsia="华文楷体"/>
              <w:lang w:val="zh-CN"/>
            </w:rPr>
            <w:fldChar w:fldCharType="end"/>
          </w:r>
        </w:p>
        <w:p w14:paraId="3A3909E9">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_Toc5402 </w:instrText>
          </w:r>
          <w:r>
            <w:rPr>
              <w:rFonts w:ascii="华文楷体" w:hAnsi="华文楷体" w:eastAsia="华文楷体"/>
              <w:lang w:val="zh-CN"/>
            </w:rPr>
            <w:fldChar w:fldCharType="separate"/>
          </w:r>
          <w:r>
            <w:rPr>
              <w:rFonts w:hint="eastAsia" w:ascii="Arial" w:hAnsi="Arial" w:eastAsia="黑体" w:cstheme="minorBidi"/>
              <w:bCs/>
              <w:kern w:val="44"/>
              <w:szCs w:val="44"/>
              <w:lang w:val="zh-CN" w:eastAsia="zh-CN" w:bidi="ar-SA"/>
            </w:rPr>
            <w:t>第7章</w:t>
          </w:r>
          <w:r>
            <w:rPr>
              <w:rFonts w:hint="eastAsia" w:cstheme="minorBidi"/>
              <w:bCs/>
              <w:kern w:val="44"/>
              <w:szCs w:val="44"/>
              <w:lang w:val="en-US" w:eastAsia="zh-CN" w:bidi="ar-SA"/>
            </w:rPr>
            <w:t xml:space="preserve"> </w:t>
          </w:r>
          <w:r>
            <w:t>作品总结</w:t>
          </w:r>
          <w:r>
            <w:tab/>
          </w:r>
          <w:r>
            <w:fldChar w:fldCharType="begin"/>
          </w:r>
          <w:r>
            <w:instrText xml:space="preserve"> PAGEREF _Toc5402 \h </w:instrText>
          </w:r>
          <w:r>
            <w:fldChar w:fldCharType="separate"/>
          </w:r>
          <w:r>
            <w:t>11</w:t>
          </w:r>
          <w:r>
            <w:fldChar w:fldCharType="end"/>
          </w:r>
          <w:r>
            <w:rPr>
              <w:rFonts w:ascii="华文楷体" w:hAnsi="华文楷体" w:eastAsia="华文楷体"/>
              <w:lang w:val="zh-CN"/>
            </w:rPr>
            <w:fldChar w:fldCharType="end"/>
          </w:r>
        </w:p>
        <w:p w14:paraId="3AE5BE6E">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_Toc1226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7.1</w:t>
          </w:r>
          <w:r>
            <w:t>作品特色与创新点</w:t>
          </w:r>
          <w:r>
            <w:tab/>
          </w:r>
          <w:r>
            <w:fldChar w:fldCharType="begin"/>
          </w:r>
          <w:r>
            <w:instrText xml:space="preserve"> PAGEREF _Toc1226 \h </w:instrText>
          </w:r>
          <w:r>
            <w:fldChar w:fldCharType="separate"/>
          </w:r>
          <w:r>
            <w:t>11</w:t>
          </w:r>
          <w:r>
            <w:fldChar w:fldCharType="end"/>
          </w:r>
          <w:r>
            <w:rPr>
              <w:rFonts w:ascii="华文楷体" w:hAnsi="华文楷体" w:eastAsia="华文楷体"/>
              <w:lang w:val="zh-CN"/>
            </w:rPr>
            <w:fldChar w:fldCharType="end"/>
          </w:r>
        </w:p>
        <w:p w14:paraId="00A79811">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_Toc5858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7.2</w:t>
          </w:r>
          <w:r>
            <w:t>应用推广</w:t>
          </w:r>
          <w:r>
            <w:tab/>
          </w:r>
          <w:r>
            <w:fldChar w:fldCharType="begin"/>
          </w:r>
          <w:r>
            <w:instrText xml:space="preserve"> PAGEREF _Toc5858 \h </w:instrText>
          </w:r>
          <w:r>
            <w:fldChar w:fldCharType="separate"/>
          </w:r>
          <w:r>
            <w:t>11</w:t>
          </w:r>
          <w:r>
            <w:fldChar w:fldCharType="end"/>
          </w:r>
          <w:r>
            <w:rPr>
              <w:rFonts w:ascii="华文楷体" w:hAnsi="华文楷体" w:eastAsia="华文楷体"/>
              <w:lang w:val="zh-CN"/>
            </w:rPr>
            <w:fldChar w:fldCharType="end"/>
          </w:r>
        </w:p>
        <w:p w14:paraId="356565C9">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_Toc23884 </w:instrText>
          </w:r>
          <w:r>
            <w:rPr>
              <w:rFonts w:ascii="华文楷体" w:hAnsi="华文楷体" w:eastAsia="华文楷体"/>
              <w:lang w:val="zh-CN"/>
            </w:rPr>
            <w:fldChar w:fldCharType="separate"/>
          </w:r>
          <w:r>
            <w:rPr>
              <w:rFonts w:hint="eastAsia" w:ascii="Arial" w:hAnsi="Arial" w:eastAsia="黑体" w:cstheme="majorBidi"/>
              <w:bCs/>
              <w:kern w:val="2"/>
              <w:szCs w:val="32"/>
              <w:lang w:val="en-US" w:eastAsia="zh-CN" w:bidi="ar-SA"/>
            </w:rPr>
            <w:t>7.3</w:t>
          </w:r>
          <w:r>
            <w:t>作品展望</w:t>
          </w:r>
          <w:r>
            <w:tab/>
          </w:r>
          <w:r>
            <w:fldChar w:fldCharType="begin"/>
          </w:r>
          <w:r>
            <w:instrText xml:space="preserve"> PAGEREF _Toc23884 \h </w:instrText>
          </w:r>
          <w:r>
            <w:fldChar w:fldCharType="separate"/>
          </w:r>
          <w:r>
            <w:t>13</w:t>
          </w:r>
          <w:r>
            <w:fldChar w:fldCharType="end"/>
          </w:r>
          <w:r>
            <w:rPr>
              <w:rFonts w:ascii="华文楷体" w:hAnsi="华文楷体" w:eastAsia="华文楷体"/>
              <w:lang w:val="zh-CN"/>
            </w:rPr>
            <w:fldChar w:fldCharType="end"/>
          </w:r>
        </w:p>
        <w:p w14:paraId="12731624">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_Toc29548 </w:instrText>
          </w:r>
          <w:r>
            <w:rPr>
              <w:rFonts w:ascii="华文楷体" w:hAnsi="华文楷体" w:eastAsia="华文楷体"/>
              <w:lang w:val="zh-CN"/>
            </w:rPr>
            <w:fldChar w:fldCharType="separate"/>
          </w:r>
          <w:r>
            <w:t>参考文献</w:t>
          </w:r>
          <w:r>
            <w:tab/>
          </w:r>
          <w:r>
            <w:fldChar w:fldCharType="begin"/>
          </w:r>
          <w:r>
            <w:instrText xml:space="preserve"> PAGEREF _Toc29548 \h </w:instrText>
          </w:r>
          <w:r>
            <w:fldChar w:fldCharType="separate"/>
          </w:r>
          <w:r>
            <w:t>14</w:t>
          </w:r>
          <w:r>
            <w:fldChar w:fldCharType="end"/>
          </w:r>
          <w:r>
            <w:rPr>
              <w:rFonts w:ascii="华文楷体" w:hAnsi="华文楷体" w:eastAsia="华文楷体"/>
              <w:lang w:val="zh-CN"/>
            </w:rPr>
            <w:fldChar w:fldCharType="end"/>
          </w:r>
        </w:p>
        <w:p w14:paraId="5D7D1456">
          <w:pPr>
            <w:pStyle w:val="17"/>
            <w:spacing w:before="156"/>
            <w:rPr>
              <w:rFonts w:ascii="Arial" w:hAnsi="Arial" w:eastAsia="黑体"/>
              <w:b w:val="0"/>
              <w:bCs w:val="0"/>
              <w:sz w:val="21"/>
              <w:szCs w:val="22"/>
              <w:lang w:val="zh-CN"/>
            </w:rPr>
            <w:sectPr>
              <w:footerReference r:id="rId3" w:type="default"/>
              <w:pgSz w:w="11906" w:h="16838"/>
              <w:pgMar w:top="1440" w:right="1800" w:bottom="1440" w:left="1800" w:header="851" w:footer="992" w:gutter="0"/>
              <w:pgNumType w:start="1"/>
              <w:cols w:space="425" w:num="1"/>
              <w:docGrid w:type="lines" w:linePitch="312" w:charSpace="0"/>
            </w:sectPr>
          </w:pPr>
          <w:r>
            <w:rPr>
              <w:rFonts w:ascii="华文楷体" w:hAnsi="华文楷体" w:eastAsia="华文楷体"/>
              <w:lang w:val="zh-CN"/>
            </w:rPr>
            <w:fldChar w:fldCharType="end"/>
          </w:r>
        </w:p>
      </w:sdtContent>
    </w:sdt>
    <w:p w14:paraId="13330F9A">
      <w:pPr>
        <w:pStyle w:val="2"/>
        <w:numPr>
          <w:ilvl w:val="0"/>
          <w:numId w:val="0"/>
        </w:numPr>
        <w:ind w:left="0" w:leftChars="0" w:firstLine="0" w:firstLineChars="0"/>
      </w:pPr>
      <w:bookmarkStart w:id="0" w:name="_Toc11058"/>
      <w:bookmarkStart w:id="33" w:name="_GoBack"/>
      <w:bookmarkEnd w:id="33"/>
      <w:r>
        <w:rPr>
          <w:rFonts w:hint="eastAsia" w:ascii="Arial" w:hAnsi="Arial" w:eastAsia="黑体" w:cstheme="minorBidi"/>
          <w:bCs/>
          <w:kern w:val="44"/>
          <w:sz w:val="36"/>
          <w:szCs w:val="44"/>
          <w:lang w:val="zh-CN" w:eastAsia="zh-CN" w:bidi="ar-SA"/>
        </w:rPr>
        <w:t>第1章</w:t>
      </w:r>
      <w:r>
        <w:rPr>
          <w:rFonts w:hint="eastAsia" w:cstheme="minorBidi"/>
          <w:bCs/>
          <w:kern w:val="44"/>
          <w:sz w:val="36"/>
          <w:szCs w:val="44"/>
          <w:lang w:val="en-US" w:eastAsia="zh-CN" w:bidi="ar-SA"/>
        </w:rPr>
        <w:t xml:space="preserve"> </w:t>
      </w:r>
      <w:r>
        <w:t>作品概述</w:t>
      </w:r>
      <w:bookmarkEnd w:id="0"/>
    </w:p>
    <w:p w14:paraId="6E1C5996">
      <w:pPr>
        <w:pStyle w:val="3"/>
        <w:jc w:val="both"/>
      </w:pPr>
      <w:r>
        <w:rPr>
          <w:sz w:val="24"/>
        </w:rPr>
        <w:t>“天穹智算——区域碳汇时空溯源与演化流式计算平台”面向“双碳”背景下区域碳汇精细化分析需求，围绕城市尺度碳源汇动态识别、网格级空间差异刻画、情景扰动下的演化响应评估三类核心问题，构建了“多源数据处理—图时序建模—服务聚合发布—前端交互呈现”的完整工程链路。作品以南京市为实证区域，将高精度季度 Sentinel-2 地表覆盖特征、ERA5 再分析气象变量、EDGAR 排放代理变量和质量控制标签统一到 309 个规则网格与 20 个季度时间片上，形成面向模型训练与平台展示的一体化数据底座，在不引入额外人工标注流程的前提下实现了季度尺度区域碳汇状态的持续更新与对比分析。</w:t>
      </w:r>
    </w:p>
    <w:p w14:paraId="16176B22">
      <w:pPr>
        <w:pStyle w:val="3"/>
        <w:jc w:val="both"/>
      </w:pPr>
      <w:r>
        <w:rPr>
          <w:sz w:val="24"/>
        </w:rPr>
        <w:t>当前平台已经形成可运行的前后端一体化系统：后端以 FastAPI 为聚合层，前端以 Vue 3 与 Cesium 为可视化载体，推理层提供 LSTM 基线、单步 ST-GNN 和多步 ST-GNN 三类模型结果，并支持面向空间框选区域的情景推演。基于现有正式产物，最佳多步 ST-GNN 在测试集上取得了 MAE 0.0452、RMSE 0.0599 的结果；在进一步进行邻接参数优化与 multi-seed 复验后，候选最优配置将 RMSE 进一步压降至 0.0595。作品同时完成了 Docker 镜像发布与使用方精简交付目录整理，使平台具备“快速部署、直接访问、可复现实验”的交付能力。</w:t>
      </w:r>
    </w:p>
    <w:p w14:paraId="1C94AA1C">
      <w:pPr>
        <w:pStyle w:val="2"/>
        <w:numPr>
          <w:ilvl w:val="0"/>
          <w:numId w:val="0"/>
        </w:numPr>
        <w:ind w:left="0" w:leftChars="0" w:firstLine="0" w:firstLineChars="0"/>
      </w:pPr>
      <w:bookmarkStart w:id="1" w:name="_Toc29640"/>
      <w:r>
        <w:rPr>
          <w:rFonts w:hint="eastAsia" w:ascii="Arial" w:hAnsi="Arial" w:eastAsia="黑体" w:cstheme="minorBidi"/>
          <w:bCs/>
          <w:kern w:val="44"/>
          <w:sz w:val="36"/>
          <w:szCs w:val="44"/>
          <w:lang w:val="zh-CN" w:eastAsia="zh-CN" w:bidi="ar-SA"/>
        </w:rPr>
        <w:t>第2章</w:t>
      </w:r>
      <w:r>
        <w:rPr>
          <w:rFonts w:hint="eastAsia" w:cstheme="minorBidi"/>
          <w:bCs/>
          <w:kern w:val="44"/>
          <w:sz w:val="36"/>
          <w:szCs w:val="44"/>
          <w:lang w:val="en-US" w:eastAsia="zh-CN" w:bidi="ar-SA"/>
        </w:rPr>
        <w:t xml:space="preserve"> </w:t>
      </w:r>
      <w:r>
        <w:t>问题分析</w:t>
      </w:r>
      <w:bookmarkEnd w:id="1"/>
    </w:p>
    <w:p w14:paraId="737E9196">
      <w:pPr>
        <w:pStyle w:val="4"/>
        <w:numPr>
          <w:ilvl w:val="1"/>
          <w:numId w:val="0"/>
        </w:numPr>
        <w:ind w:left="0" w:leftChars="0" w:firstLine="0" w:firstLineChars="0"/>
      </w:pPr>
      <w:bookmarkStart w:id="2" w:name="_Toc6657"/>
      <w:r>
        <w:rPr>
          <w:rFonts w:hint="eastAsia" w:ascii="Arial" w:hAnsi="Arial" w:eastAsia="黑体" w:cstheme="majorBidi"/>
          <w:bCs/>
          <w:kern w:val="2"/>
          <w:sz w:val="30"/>
          <w:szCs w:val="32"/>
          <w:lang w:val="en-US" w:eastAsia="zh-CN" w:bidi="ar-SA"/>
        </w:rPr>
        <w:t>2.1</w:t>
      </w:r>
      <w:r>
        <w:t>问题来源</w:t>
      </w:r>
      <w:bookmarkEnd w:id="2"/>
    </w:p>
    <w:p w14:paraId="62623099">
      <w:pPr>
        <w:pStyle w:val="3"/>
        <w:jc w:val="both"/>
      </w:pPr>
      <w:r>
        <w:rPr>
          <w:sz w:val="24"/>
        </w:rPr>
        <w:t>区域碳收支分析正从宏观统计逐步转向精细尺度、连续时序和可交互决策支持</w:t>
      </w:r>
      <w:r>
        <w:rPr>
          <w:rFonts w:hint="default"/>
          <w:sz w:val="24"/>
          <w:vertAlign w:val="superscript"/>
          <w:lang w:val="en-US"/>
        </w:rPr>
        <w:fldChar w:fldCharType="begin"/>
      </w:r>
      <w:r>
        <w:rPr>
          <w:rFonts w:hint="default"/>
          <w:sz w:val="24"/>
          <w:vertAlign w:val="superscript"/>
          <w:lang w:val="en-US"/>
        </w:rPr>
        <w:instrText xml:space="preserve"> REF _Ref17457 \r \h </w:instrText>
      </w:r>
      <w:r>
        <w:rPr>
          <w:rFonts w:hint="default"/>
          <w:sz w:val="24"/>
          <w:vertAlign w:val="superscript"/>
          <w:lang w:val="en-US"/>
        </w:rPr>
        <w:fldChar w:fldCharType="separate"/>
      </w:r>
      <w:r>
        <w:rPr>
          <w:rFonts w:hint="default"/>
          <w:sz w:val="24"/>
          <w:vertAlign w:val="superscript"/>
          <w:lang w:val="en-US"/>
        </w:rPr>
        <w:t>[1]</w:t>
      </w:r>
      <w:r>
        <w:rPr>
          <w:rFonts w:hint="default"/>
          <w:sz w:val="24"/>
          <w:vertAlign w:val="superscript"/>
          <w:lang w:val="en-US"/>
        </w:rPr>
        <w:fldChar w:fldCharType="end"/>
      </w:r>
      <w:r>
        <w:rPr>
          <w:rFonts w:hint="default"/>
          <w:sz w:val="24"/>
          <w:vertAlign w:val="superscript"/>
          <w:lang w:val="en-US"/>
        </w:rPr>
        <w:fldChar w:fldCharType="begin"/>
      </w:r>
      <w:r>
        <w:rPr>
          <w:rFonts w:hint="default"/>
          <w:sz w:val="24"/>
          <w:vertAlign w:val="superscript"/>
          <w:lang w:val="en-US"/>
        </w:rPr>
        <w:instrText xml:space="preserve"> REF _Ref17551 \r \h </w:instrText>
      </w:r>
      <w:r>
        <w:rPr>
          <w:rFonts w:hint="default"/>
          <w:sz w:val="24"/>
          <w:vertAlign w:val="superscript"/>
          <w:lang w:val="en-US"/>
        </w:rPr>
        <w:fldChar w:fldCharType="separate"/>
      </w:r>
      <w:r>
        <w:rPr>
          <w:rFonts w:hint="default"/>
          <w:sz w:val="24"/>
          <w:vertAlign w:val="superscript"/>
          <w:lang w:val="en-US"/>
        </w:rPr>
        <w:t>[2]</w:t>
      </w:r>
      <w:r>
        <w:rPr>
          <w:rFonts w:hint="default"/>
          <w:sz w:val="24"/>
          <w:vertAlign w:val="superscript"/>
          <w:lang w:val="en-US"/>
        </w:rPr>
        <w:fldChar w:fldCharType="end"/>
      </w:r>
      <w:r>
        <w:rPr>
          <w:rFonts w:hint="default"/>
          <w:sz w:val="24"/>
          <w:vertAlign w:val="superscript"/>
          <w:lang w:val="en-US"/>
        </w:rPr>
        <w:fldChar w:fldCharType="begin"/>
      </w:r>
      <w:r>
        <w:rPr>
          <w:rFonts w:hint="default"/>
          <w:sz w:val="24"/>
          <w:vertAlign w:val="superscript"/>
          <w:lang w:val="en-US"/>
        </w:rPr>
        <w:instrText xml:space="preserve"> REF _Ref17558 \r \h </w:instrText>
      </w:r>
      <w:r>
        <w:rPr>
          <w:rFonts w:hint="default"/>
          <w:sz w:val="24"/>
          <w:vertAlign w:val="superscript"/>
          <w:lang w:val="en-US"/>
        </w:rPr>
        <w:fldChar w:fldCharType="separate"/>
      </w:r>
      <w:r>
        <w:rPr>
          <w:rFonts w:hint="default"/>
          <w:sz w:val="24"/>
          <w:vertAlign w:val="superscript"/>
          <w:lang w:val="en-US"/>
        </w:rPr>
        <w:t>[3]</w:t>
      </w:r>
      <w:r>
        <w:rPr>
          <w:rFonts w:hint="default"/>
          <w:sz w:val="24"/>
          <w:vertAlign w:val="superscript"/>
          <w:lang w:val="en-US"/>
        </w:rPr>
        <w:fldChar w:fldCharType="end"/>
      </w:r>
      <w:r>
        <w:rPr>
          <w:rFonts w:hint="default"/>
          <w:sz w:val="24"/>
          <w:vertAlign w:val="superscript"/>
          <w:lang w:val="en-US"/>
        </w:rPr>
        <w:fldChar w:fldCharType="begin"/>
      </w:r>
      <w:r>
        <w:rPr>
          <w:rFonts w:hint="default"/>
          <w:sz w:val="24"/>
          <w:vertAlign w:val="superscript"/>
          <w:lang w:val="en-US"/>
        </w:rPr>
        <w:instrText xml:space="preserve"> REF _Ref17564 \r \h </w:instrText>
      </w:r>
      <w:r>
        <w:rPr>
          <w:rFonts w:hint="default"/>
          <w:sz w:val="24"/>
          <w:vertAlign w:val="superscript"/>
          <w:lang w:val="en-US"/>
        </w:rPr>
        <w:fldChar w:fldCharType="separate"/>
      </w:r>
      <w:r>
        <w:rPr>
          <w:rFonts w:hint="default"/>
          <w:sz w:val="24"/>
          <w:vertAlign w:val="superscript"/>
          <w:lang w:val="en-US"/>
        </w:rPr>
        <w:t>[4]</w:t>
      </w:r>
      <w:r>
        <w:rPr>
          <w:rFonts w:hint="default"/>
          <w:sz w:val="24"/>
          <w:vertAlign w:val="superscript"/>
          <w:lang w:val="en-US"/>
        </w:rPr>
        <w:fldChar w:fldCharType="end"/>
      </w:r>
      <w:r>
        <w:rPr>
          <w:sz w:val="24"/>
        </w:rPr>
        <w:t>。在城市与城市群尺度，碳汇能力并不是一个静态结果，而是会随着地表覆盖变化、气象条件波动以及人为排放压力变化而不断重塑；如果缺少网格级时空分析框架，管理部门往往只能获得年度总量或行政区平均值，难以识别局部生态修复成效、建成区扩张影响与高排放扰动的耦合关系。对高校团队而言，真正具有应用价值的作品也不应停留在离线建模，而要把数据预处理、模型训练、结果评估、情景推演和可视化发布连成一条完整链路。</w:t>
      </w:r>
    </w:p>
    <w:p w14:paraId="6D2E9433">
      <w:pPr>
        <w:pStyle w:val="4"/>
        <w:numPr>
          <w:ilvl w:val="1"/>
          <w:numId w:val="0"/>
        </w:numPr>
        <w:ind w:left="0" w:leftChars="0" w:firstLine="0" w:firstLineChars="0"/>
      </w:pPr>
      <w:bookmarkStart w:id="3" w:name="_Toc30683"/>
      <w:r>
        <w:rPr>
          <w:rFonts w:hint="eastAsia" w:ascii="Arial" w:hAnsi="Arial" w:eastAsia="黑体" w:cstheme="majorBidi"/>
          <w:bCs/>
          <w:kern w:val="2"/>
          <w:sz w:val="30"/>
          <w:szCs w:val="32"/>
          <w:lang w:val="en-US" w:eastAsia="zh-CN" w:bidi="ar-SA"/>
        </w:rPr>
        <w:t>2.2</w:t>
      </w:r>
      <w:r>
        <w:t>现有解决方案</w:t>
      </w:r>
      <w:bookmarkEnd w:id="3"/>
    </w:p>
    <w:p w14:paraId="1D8804A3">
      <w:pPr>
        <w:pStyle w:val="3"/>
        <w:jc w:val="both"/>
      </w:pPr>
      <w:r>
        <w:rPr>
          <w:sz w:val="24"/>
        </w:rPr>
        <w:t>已有研究已经在遥感碳监测、区域碳收支估算和图神经网络建模方面提供了扎实基础。卫星遥感与多源观测结合可以支持碳盘点、温室气体监测和区域生态系统碳汇核算</w:t>
      </w:r>
      <w:r>
        <w:rPr>
          <w:sz w:val="24"/>
          <w:vertAlign w:val="superscript"/>
        </w:rPr>
        <w:fldChar w:fldCharType="begin"/>
      </w:r>
      <w:r>
        <w:rPr>
          <w:sz w:val="24"/>
          <w:vertAlign w:val="superscript"/>
        </w:rPr>
        <w:instrText xml:space="preserve"> REF _Ref17457 \r \h </w:instrText>
      </w:r>
      <w:r>
        <w:rPr>
          <w:sz w:val="24"/>
          <w:vertAlign w:val="superscript"/>
        </w:rPr>
        <w:fldChar w:fldCharType="separate"/>
      </w:r>
      <w:r>
        <w:rPr>
          <w:sz w:val="24"/>
          <w:vertAlign w:val="superscript"/>
        </w:rPr>
        <w:t>[1]</w:t>
      </w:r>
      <w:r>
        <w:rPr>
          <w:sz w:val="24"/>
          <w:vertAlign w:val="superscript"/>
        </w:rPr>
        <w:fldChar w:fldCharType="end"/>
      </w:r>
      <w:r>
        <w:rPr>
          <w:rFonts w:hint="default"/>
          <w:sz w:val="24"/>
          <w:vertAlign w:val="superscript"/>
          <w:lang w:val="en-US"/>
        </w:rPr>
        <w:fldChar w:fldCharType="begin"/>
      </w:r>
      <w:r>
        <w:rPr>
          <w:rFonts w:hint="default"/>
          <w:sz w:val="24"/>
          <w:vertAlign w:val="superscript"/>
          <w:lang w:val="en-US"/>
        </w:rPr>
        <w:instrText xml:space="preserve"> REF _Ref17551 \r \h </w:instrText>
      </w:r>
      <w:r>
        <w:rPr>
          <w:rFonts w:hint="default"/>
          <w:sz w:val="24"/>
          <w:vertAlign w:val="superscript"/>
          <w:lang w:val="en-US"/>
        </w:rPr>
        <w:fldChar w:fldCharType="separate"/>
      </w:r>
      <w:r>
        <w:rPr>
          <w:rFonts w:hint="default"/>
          <w:sz w:val="24"/>
          <w:vertAlign w:val="superscript"/>
          <w:lang w:val="en-US"/>
        </w:rPr>
        <w:t>[2]</w:t>
      </w:r>
      <w:r>
        <w:rPr>
          <w:rFonts w:hint="default"/>
          <w:sz w:val="24"/>
          <w:vertAlign w:val="superscript"/>
          <w:lang w:val="en-US"/>
        </w:rPr>
        <w:fldChar w:fldCharType="end"/>
      </w:r>
      <w:r>
        <w:rPr>
          <w:rFonts w:hint="default"/>
          <w:sz w:val="24"/>
          <w:vertAlign w:val="superscript"/>
          <w:lang w:val="en-US"/>
        </w:rPr>
        <w:fldChar w:fldCharType="begin"/>
      </w:r>
      <w:r>
        <w:rPr>
          <w:rFonts w:hint="default"/>
          <w:sz w:val="24"/>
          <w:vertAlign w:val="superscript"/>
          <w:lang w:val="en-US"/>
        </w:rPr>
        <w:instrText xml:space="preserve"> REF _Ref17636 \r \h </w:instrText>
      </w:r>
      <w:r>
        <w:rPr>
          <w:rFonts w:hint="default"/>
          <w:sz w:val="24"/>
          <w:vertAlign w:val="superscript"/>
          <w:lang w:val="en-US"/>
        </w:rPr>
        <w:fldChar w:fldCharType="separate"/>
      </w:r>
      <w:r>
        <w:rPr>
          <w:rFonts w:hint="default"/>
          <w:sz w:val="24"/>
          <w:vertAlign w:val="superscript"/>
          <w:lang w:val="en-US"/>
        </w:rPr>
        <w:t>[7]</w:t>
      </w:r>
      <w:r>
        <w:rPr>
          <w:rFonts w:hint="default"/>
          <w:sz w:val="24"/>
          <w:vertAlign w:val="superscript"/>
          <w:lang w:val="en-US"/>
        </w:rPr>
        <w:fldChar w:fldCharType="end"/>
      </w:r>
      <w:r>
        <w:rPr>
          <w:sz w:val="24"/>
        </w:rPr>
        <w:t>；围绕城市群或植被系统的时空碳收支研究，也为解释区域差异与驱动因素提供了方法框架</w:t>
      </w:r>
      <w:r>
        <w:rPr>
          <w:sz w:val="24"/>
          <w:vertAlign w:val="superscript"/>
        </w:rPr>
        <w:fldChar w:fldCharType="begin"/>
      </w:r>
      <w:r>
        <w:rPr>
          <w:sz w:val="24"/>
          <w:vertAlign w:val="superscript"/>
        </w:rPr>
        <w:instrText xml:space="preserve"> REF _Ref17558 \r \h </w:instrText>
      </w:r>
      <w:r>
        <w:rPr>
          <w:sz w:val="24"/>
          <w:vertAlign w:val="superscript"/>
        </w:rPr>
        <w:fldChar w:fldCharType="separate"/>
      </w:r>
      <w:r>
        <w:rPr>
          <w:sz w:val="24"/>
          <w:vertAlign w:val="superscript"/>
        </w:rPr>
        <w:t>[3]</w:t>
      </w:r>
      <w:r>
        <w:rPr>
          <w:sz w:val="24"/>
          <w:vertAlign w:val="superscript"/>
        </w:rPr>
        <w:fldChar w:fldCharType="end"/>
      </w:r>
      <w:r>
        <w:rPr>
          <w:rFonts w:hint="default"/>
          <w:sz w:val="24"/>
          <w:vertAlign w:val="superscript"/>
          <w:lang w:val="en-US"/>
        </w:rPr>
        <w:fldChar w:fldCharType="begin"/>
      </w:r>
      <w:r>
        <w:rPr>
          <w:rFonts w:hint="default"/>
          <w:sz w:val="24"/>
          <w:vertAlign w:val="superscript"/>
          <w:lang w:val="en-US"/>
        </w:rPr>
        <w:instrText xml:space="preserve"> REF _Ref17564 \r \h </w:instrText>
      </w:r>
      <w:r>
        <w:rPr>
          <w:rFonts w:hint="default"/>
          <w:sz w:val="24"/>
          <w:vertAlign w:val="superscript"/>
          <w:lang w:val="en-US"/>
        </w:rPr>
        <w:fldChar w:fldCharType="separate"/>
      </w:r>
      <w:r>
        <w:rPr>
          <w:rFonts w:hint="default"/>
          <w:sz w:val="24"/>
          <w:vertAlign w:val="superscript"/>
          <w:lang w:val="en-US"/>
        </w:rPr>
        <w:t>[4]</w:t>
      </w:r>
      <w:r>
        <w:rPr>
          <w:rFonts w:hint="default"/>
          <w:sz w:val="24"/>
          <w:vertAlign w:val="superscript"/>
          <w:lang w:val="en-US"/>
        </w:rPr>
        <w:fldChar w:fldCharType="end"/>
      </w:r>
      <w:r>
        <w:rPr>
          <w:sz w:val="24"/>
        </w:rPr>
        <w:t>。与此同时，图神经网络与时空图模型已经在处理非欧式空间依赖、传播结构和时序耦合问题上展现出优势</w:t>
      </w:r>
      <w:r>
        <w:rPr>
          <w:sz w:val="24"/>
          <w:vertAlign w:val="superscript"/>
        </w:rPr>
        <w:fldChar w:fldCharType="begin"/>
      </w:r>
      <w:r>
        <w:rPr>
          <w:sz w:val="24"/>
          <w:vertAlign w:val="superscript"/>
        </w:rPr>
        <w:instrText xml:space="preserve"> REF _Ref17754 \r \h </w:instrText>
      </w:r>
      <w:r>
        <w:rPr>
          <w:sz w:val="24"/>
          <w:vertAlign w:val="superscript"/>
        </w:rPr>
        <w:fldChar w:fldCharType="separate"/>
      </w:r>
      <w:r>
        <w:rPr>
          <w:sz w:val="24"/>
          <w:vertAlign w:val="superscript"/>
        </w:rPr>
        <w:t>[5]</w:t>
      </w:r>
      <w:r>
        <w:rPr>
          <w:sz w:val="24"/>
          <w:vertAlign w:val="superscript"/>
        </w:rPr>
        <w:fldChar w:fldCharType="end"/>
      </w:r>
      <w:r>
        <w:rPr>
          <w:rFonts w:hint="default"/>
          <w:sz w:val="24"/>
          <w:vertAlign w:val="superscript"/>
          <w:lang w:val="en-US"/>
        </w:rPr>
        <w:fldChar w:fldCharType="begin"/>
      </w:r>
      <w:r>
        <w:rPr>
          <w:rFonts w:hint="default"/>
          <w:sz w:val="24"/>
          <w:vertAlign w:val="superscript"/>
          <w:lang w:val="en-US"/>
        </w:rPr>
        <w:instrText xml:space="preserve"> REF _Ref17760 \r \h </w:instrText>
      </w:r>
      <w:r>
        <w:rPr>
          <w:rFonts w:hint="default"/>
          <w:sz w:val="24"/>
          <w:vertAlign w:val="superscript"/>
          <w:lang w:val="en-US"/>
        </w:rPr>
        <w:fldChar w:fldCharType="separate"/>
      </w:r>
      <w:r>
        <w:rPr>
          <w:rFonts w:hint="default"/>
          <w:sz w:val="24"/>
          <w:vertAlign w:val="superscript"/>
          <w:lang w:val="en-US"/>
        </w:rPr>
        <w:t>[6]</w:t>
      </w:r>
      <w:r>
        <w:rPr>
          <w:rFonts w:hint="default"/>
          <w:sz w:val="24"/>
          <w:vertAlign w:val="superscript"/>
          <w:lang w:val="en-US"/>
        </w:rPr>
        <w:fldChar w:fldCharType="end"/>
      </w:r>
      <w:r>
        <w:rPr>
          <w:rFonts w:hint="default"/>
          <w:sz w:val="24"/>
          <w:vertAlign w:val="superscript"/>
          <w:lang w:val="en-US"/>
        </w:rPr>
        <w:fldChar w:fldCharType="begin"/>
      </w:r>
      <w:r>
        <w:rPr>
          <w:rFonts w:hint="default"/>
          <w:sz w:val="24"/>
          <w:vertAlign w:val="superscript"/>
          <w:lang w:val="en-US"/>
        </w:rPr>
        <w:instrText xml:space="preserve"> REF _Ref17767 \r \h </w:instrText>
      </w:r>
      <w:r>
        <w:rPr>
          <w:rFonts w:hint="default"/>
          <w:sz w:val="24"/>
          <w:vertAlign w:val="superscript"/>
          <w:lang w:val="en-US"/>
        </w:rPr>
        <w:fldChar w:fldCharType="separate"/>
      </w:r>
      <w:r>
        <w:rPr>
          <w:rFonts w:hint="default"/>
          <w:sz w:val="24"/>
          <w:vertAlign w:val="superscript"/>
          <w:lang w:val="en-US"/>
        </w:rPr>
        <w:t>[11]</w:t>
      </w:r>
      <w:r>
        <w:rPr>
          <w:rFonts w:hint="default"/>
          <w:sz w:val="24"/>
          <w:vertAlign w:val="superscript"/>
          <w:lang w:val="en-US"/>
        </w:rPr>
        <w:fldChar w:fldCharType="end"/>
      </w:r>
      <w:r>
        <w:rPr>
          <w:rFonts w:hint="default"/>
          <w:sz w:val="24"/>
          <w:vertAlign w:val="superscript"/>
          <w:lang w:val="en-US"/>
        </w:rPr>
        <w:fldChar w:fldCharType="begin"/>
      </w:r>
      <w:r>
        <w:rPr>
          <w:rFonts w:hint="default"/>
          <w:sz w:val="24"/>
          <w:vertAlign w:val="superscript"/>
          <w:lang w:val="en-US"/>
        </w:rPr>
        <w:instrText xml:space="preserve"> REF _Ref17773 \r \h </w:instrText>
      </w:r>
      <w:r>
        <w:rPr>
          <w:rFonts w:hint="default"/>
          <w:sz w:val="24"/>
          <w:vertAlign w:val="superscript"/>
          <w:lang w:val="en-US"/>
        </w:rPr>
        <w:fldChar w:fldCharType="separate"/>
      </w:r>
      <w:r>
        <w:rPr>
          <w:rFonts w:hint="default"/>
          <w:sz w:val="24"/>
          <w:vertAlign w:val="superscript"/>
          <w:lang w:val="en-US"/>
        </w:rPr>
        <w:t>[12]</w:t>
      </w:r>
      <w:r>
        <w:rPr>
          <w:rFonts w:hint="default"/>
          <w:sz w:val="24"/>
          <w:vertAlign w:val="superscript"/>
          <w:lang w:val="en-US"/>
        </w:rPr>
        <w:fldChar w:fldCharType="end"/>
      </w:r>
      <w:r>
        <w:rPr>
          <w:sz w:val="24"/>
        </w:rPr>
        <w:t>。这些成果说明：区域碳汇问题既需要遥感与环境数据支撑，也适合采用图结构建模来刻画空间邻接与传输关系。</w:t>
      </w:r>
    </w:p>
    <w:p w14:paraId="139ED306">
      <w:pPr>
        <w:pStyle w:val="3"/>
        <w:jc w:val="both"/>
      </w:pPr>
      <w:r>
        <w:rPr>
          <w:sz w:val="24"/>
        </w:rPr>
        <w:t>但从工程落地角度看，现有公开方案仍存在两个明显缺口：一是很多研究以年度统计或论文级实验为主，缺乏适合业务复用的标准化数据装配与服务接口；二是已有平台型系统往往重展示、轻推演，或者重模型、轻交付，难以形成“数据—模型—服务—界面”闭环。本作品正是在这一缺口上展开设计，不追求脱离数据条件的宏大叙事，而是聚焦南京区域样本，在现有时序长度和数据规模约束下实现可运行、可优化、可验证的工程系统。</w:t>
      </w:r>
    </w:p>
    <w:p w14:paraId="46312718">
      <w:pPr>
        <w:pStyle w:val="4"/>
        <w:numPr>
          <w:ilvl w:val="1"/>
          <w:numId w:val="0"/>
        </w:numPr>
        <w:ind w:left="0" w:leftChars="0" w:firstLine="0" w:firstLineChars="0"/>
      </w:pPr>
      <w:bookmarkStart w:id="4" w:name="_Toc15217"/>
      <w:r>
        <w:rPr>
          <w:rFonts w:hint="eastAsia" w:ascii="Arial" w:hAnsi="Arial" w:eastAsia="黑体" w:cstheme="majorBidi"/>
          <w:bCs/>
          <w:kern w:val="2"/>
          <w:sz w:val="30"/>
          <w:szCs w:val="32"/>
          <w:lang w:val="en-US" w:eastAsia="zh-CN" w:bidi="ar-SA"/>
        </w:rPr>
        <w:t>2.3</w:t>
      </w:r>
      <w:r>
        <w:t>本作品要解决的痛点问题</w:t>
      </w:r>
      <w:bookmarkEnd w:id="4"/>
    </w:p>
    <w:p w14:paraId="39C3B446">
      <w:pPr>
        <w:pStyle w:val="3"/>
        <w:jc w:val="both"/>
      </w:pPr>
      <w:r>
        <w:rPr>
          <w:sz w:val="24"/>
        </w:rPr>
        <w:t>结合实际开发过程，本作品聚焦解决四项关键痛点：第一，季度尺度多源数据时空粒度不统一，直接用于训练会导致节点错位、时间错位和字段缺失；第二，单纯基于栅格独立建模难以表达风场影响、近邻传播与地类相似度，空间依赖被弱化后会直接影响碳汇预测稳定性；第三，模型实验往往停留在脚本级输出，难以被前端平台直接调用，也无法支撑用户从区域框选到结果解释的闭环交互；第四，作品交付若仍依赖本地源码环境，使用方难以快速部署，作品的展示性和可复现性都会受到限制。</w:t>
      </w:r>
    </w:p>
    <w:p w14:paraId="63A2358C">
      <w:pPr>
        <w:pStyle w:val="4"/>
        <w:numPr>
          <w:ilvl w:val="1"/>
          <w:numId w:val="0"/>
        </w:numPr>
        <w:ind w:left="0" w:leftChars="0" w:firstLine="0" w:firstLineChars="0"/>
      </w:pPr>
      <w:bookmarkStart w:id="5" w:name="_Toc11570"/>
      <w:r>
        <w:rPr>
          <w:rFonts w:hint="eastAsia" w:ascii="Arial" w:hAnsi="Arial" w:eastAsia="黑体" w:cstheme="majorBidi"/>
          <w:bCs/>
          <w:kern w:val="2"/>
          <w:sz w:val="30"/>
          <w:szCs w:val="32"/>
          <w:lang w:val="en-US" w:eastAsia="zh-CN" w:bidi="ar-SA"/>
        </w:rPr>
        <w:t>2.4</w:t>
      </w:r>
      <w:r>
        <w:t>解决问题的思路</w:t>
      </w:r>
      <w:bookmarkEnd w:id="5"/>
    </w:p>
    <w:p w14:paraId="718C60E6">
      <w:pPr>
        <w:pStyle w:val="3"/>
        <w:jc w:val="both"/>
      </w:pPr>
      <w:r>
        <w:rPr>
          <w:sz w:val="24"/>
        </w:rPr>
        <w:t>针对上述问题，作品采用了“高精度季度数据重建 + 图时序模型训练 + 服务聚合与情景推演 + 容器化交付”的总体思路。数据层先把遥感、气象、排放与标签信息统一到规则网格，形成结构清晰的季度特征矩阵；建模层通过 hybrid_wind_knn 邻接构造把距离、风向传播和相似特征耦合进图结构；服务层统一读取训练产物、预测结果和情景推演结果，并向前端输出仪表板、模型指标和区域推演结果；交付层则通过一键启动脚本与 Docker 镜像发布，降低环境依赖。</w:t>
      </w:r>
    </w:p>
    <w:p w14:paraId="57E81CF9">
      <w:pPr>
        <w:pStyle w:val="2"/>
        <w:numPr>
          <w:ilvl w:val="0"/>
          <w:numId w:val="0"/>
        </w:numPr>
        <w:ind w:left="0" w:leftChars="0" w:firstLine="0" w:firstLineChars="0"/>
      </w:pPr>
      <w:bookmarkStart w:id="6" w:name="_Toc26259"/>
      <w:r>
        <w:rPr>
          <w:rFonts w:hint="eastAsia" w:ascii="Arial" w:hAnsi="Arial" w:eastAsia="黑体" w:cstheme="minorBidi"/>
          <w:bCs/>
          <w:kern w:val="44"/>
          <w:sz w:val="36"/>
          <w:szCs w:val="44"/>
          <w:lang w:val="zh-CN" w:eastAsia="zh-CN" w:bidi="ar-SA"/>
        </w:rPr>
        <w:t>第3章</w:t>
      </w:r>
      <w:r>
        <w:rPr>
          <w:rFonts w:hint="eastAsia" w:cstheme="minorBidi"/>
          <w:bCs/>
          <w:kern w:val="44"/>
          <w:sz w:val="36"/>
          <w:szCs w:val="44"/>
          <w:lang w:val="en-US" w:eastAsia="zh-CN" w:bidi="ar-SA"/>
        </w:rPr>
        <w:t xml:space="preserve"> </w:t>
      </w:r>
      <w:r>
        <w:t>技术方案</w:t>
      </w:r>
      <w:bookmarkEnd w:id="6"/>
    </w:p>
    <w:p w14:paraId="347D104F">
      <w:pPr>
        <w:pStyle w:val="4"/>
        <w:numPr>
          <w:ilvl w:val="1"/>
          <w:numId w:val="0"/>
        </w:numPr>
        <w:ind w:left="0" w:leftChars="0" w:firstLine="0" w:firstLineChars="0"/>
      </w:pPr>
      <w:bookmarkStart w:id="7" w:name="_Toc495"/>
      <w:r>
        <w:rPr>
          <w:rFonts w:hint="eastAsia" w:ascii="Arial" w:hAnsi="Arial" w:eastAsia="黑体" w:cstheme="majorBidi"/>
          <w:bCs/>
          <w:kern w:val="2"/>
          <w:sz w:val="30"/>
          <w:szCs w:val="32"/>
          <w:lang w:val="en-US" w:eastAsia="zh-CN" w:bidi="ar-SA"/>
        </w:rPr>
        <w:t>3.1</w:t>
      </w:r>
      <w:r>
        <w:t>总体架构设计</w:t>
      </w:r>
      <w:bookmarkEnd w:id="7"/>
    </w:p>
    <w:p w14:paraId="6211B406">
      <w:pPr>
        <w:pStyle w:val="3"/>
        <w:jc w:val="both"/>
      </w:pPr>
      <w:r>
        <w:rPr>
          <w:sz w:val="24"/>
        </w:rPr>
        <w:t>作品总体架构如图所示，按照多源数据接入、遥感特征构建、图时序推理、场景推演、服务聚合和展示交付六个层次组织。这样的分层方式一方面便于将实验脚本、服务接口和前端界面解耦，另一方面也方便在后续扩展城市区域时复用相同的数据装配与部署流程。对于竞赛作品而言，这种架构保证了算法能力不是孤立存在，而是通过统一接口进入平台，直接服务于区域碳汇识别和演化分析任务。</w:t>
      </w:r>
    </w:p>
    <w:p w14:paraId="559AD9E4">
      <w:pPr>
        <w:pStyle w:val="41"/>
        <w:jc w:val="center"/>
      </w:pPr>
      <w:r>
        <w:drawing>
          <wp:inline distT="0" distB="0" distL="114300" distR="114300">
            <wp:extent cx="4686300" cy="5728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686300" cy="5728335"/>
                    </a:xfrm>
                    <a:prstGeom prst="rect">
                      <a:avLst/>
                    </a:prstGeom>
                  </pic:spPr>
                </pic:pic>
              </a:graphicData>
            </a:graphic>
          </wp:inline>
        </w:drawing>
      </w:r>
    </w:p>
    <w:p w14:paraId="3C3B5753">
      <w:pPr>
        <w:pStyle w:val="12"/>
        <w:jc w:val="center"/>
      </w:pPr>
      <w:r>
        <w:t xml:space="preserve">图 </w:t>
      </w:r>
      <w:r>
        <w:fldChar w:fldCharType="begin"/>
      </w:r>
      <w:r>
        <w:instrText xml:space="preserve">SEQ 图 \* ARABIC</w:instrText>
      </w:r>
      <w:r>
        <w:fldChar w:fldCharType="separate"/>
      </w:r>
      <w:r>
        <w:t>1</w:t>
      </w:r>
      <w:r>
        <w:fldChar w:fldCharType="end"/>
      </w:r>
      <w:r>
        <w:t xml:space="preserve">  平台总体技术架构</w:t>
      </w:r>
    </w:p>
    <w:p w14:paraId="7926BE8A">
      <w:pPr>
        <w:pStyle w:val="4"/>
        <w:numPr>
          <w:ilvl w:val="1"/>
          <w:numId w:val="0"/>
        </w:numPr>
        <w:ind w:left="0" w:leftChars="0" w:firstLine="0" w:firstLineChars="0"/>
      </w:pPr>
      <w:bookmarkStart w:id="8" w:name="_Toc16146"/>
      <w:r>
        <w:rPr>
          <w:rFonts w:hint="eastAsia" w:ascii="Arial" w:hAnsi="Arial" w:eastAsia="黑体" w:cstheme="majorBidi"/>
          <w:bCs/>
          <w:kern w:val="2"/>
          <w:sz w:val="30"/>
          <w:szCs w:val="32"/>
          <w:lang w:val="en-US" w:eastAsia="zh-CN" w:bidi="ar-SA"/>
        </w:rPr>
        <w:t>3.2</w:t>
      </w:r>
      <w:r>
        <w:t>数据融合、图建模与平台落地流程</w:t>
      </w:r>
      <w:bookmarkEnd w:id="8"/>
    </w:p>
    <w:p w14:paraId="032239AE">
      <w:pPr>
        <w:pStyle w:val="3"/>
        <w:jc w:val="both"/>
      </w:pPr>
      <w:r>
        <w:rPr>
          <w:sz w:val="24"/>
        </w:rPr>
        <w:t>从工程实现看，作品并未把“流式”简单理解为高并发消息系统，而是将其落实为一条可持续滚动更新的处理流水线：高精度季度遥感数据首先进入特征拼接与质量控制阶段，再与 ERA5、EDGAR 和标签信息按网格、季度对齐，随后构建带风向和相似度权重的邻接矩阵，供 ST-GNN 与 LSTM 模型训练使用；模型输出的预测结果、指标文件和最佳权重再被后端聚合，最终通过前端平台以地图、统计卡片和场景推演结果的形式对外提供服务。该流程既保留了科研实验对可解释性的要求，也满足平台产品对可部署性的要求。</w:t>
      </w:r>
    </w:p>
    <w:p w14:paraId="5B579FBC">
      <w:pPr>
        <w:pStyle w:val="41"/>
        <w:jc w:val="center"/>
      </w:pPr>
      <w:r>
        <w:drawing>
          <wp:inline distT="0" distB="0" distL="114300" distR="114300">
            <wp:extent cx="5252720" cy="1751330"/>
            <wp:effectExtent l="0" t="0" r="508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2720" cy="1751330"/>
                    </a:xfrm>
                    <a:prstGeom prst="rect">
                      <a:avLst/>
                    </a:prstGeom>
                  </pic:spPr>
                </pic:pic>
              </a:graphicData>
            </a:graphic>
          </wp:inline>
        </w:drawing>
      </w:r>
    </w:p>
    <w:p w14:paraId="66739361">
      <w:pPr>
        <w:pStyle w:val="12"/>
        <w:jc w:val="center"/>
      </w:pPr>
      <w:r>
        <w:t xml:space="preserve">图 </w:t>
      </w:r>
      <w:r>
        <w:rPr>
          <w:rFonts w:hint="eastAsia"/>
          <w:lang w:val="en-US" w:eastAsia="zh-CN"/>
        </w:rPr>
        <w:t>2</w:t>
      </w:r>
      <w:r>
        <w:t xml:space="preserve">  数据融合、图建模与平台落地流程</w:t>
      </w:r>
    </w:p>
    <w:p w14:paraId="56D27E82">
      <w:pPr>
        <w:pStyle w:val="12"/>
        <w:jc w:val="center"/>
      </w:pPr>
      <w:r>
        <w:t xml:space="preserve">表 </w:t>
      </w:r>
      <w:r>
        <w:fldChar w:fldCharType="begin"/>
      </w:r>
      <w:r>
        <w:instrText xml:space="preserve">SEQ 表 \* ARABIC</w:instrText>
      </w:r>
      <w:r>
        <w:fldChar w:fldCharType="separate"/>
      </w:r>
      <w:r>
        <w:t>1</w:t>
      </w:r>
      <w:r>
        <w:fldChar w:fldCharType="end"/>
      </w:r>
      <w:r>
        <w:t xml:space="preserve">  多源数据底座与处理结果概览</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132F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single" w:color="000000" w:sz="12" w:space="0"/>
              <w:left w:val="nil"/>
              <w:bottom w:val="single" w:color="000000" w:sz="12" w:space="0"/>
              <w:right w:val="nil"/>
            </w:tcBorders>
            <w:vAlign w:val="center"/>
          </w:tcPr>
          <w:p w14:paraId="499C8E17">
            <w:pPr>
              <w:spacing w:before="0" w:after="0"/>
              <w:jc w:val="center"/>
            </w:pPr>
            <w:r>
              <w:rPr>
                <w:rFonts w:ascii="宋体" w:hAnsi="宋体" w:eastAsia="宋体"/>
                <w:b/>
                <w:sz w:val="21"/>
              </w:rPr>
              <w:t>数据类别</w:t>
            </w:r>
          </w:p>
        </w:tc>
        <w:tc>
          <w:tcPr>
            <w:tcW w:w="2076" w:type="dxa"/>
            <w:tcBorders>
              <w:top w:val="single" w:color="000000" w:sz="12" w:space="0"/>
              <w:left w:val="nil"/>
              <w:bottom w:val="single" w:color="000000" w:sz="12" w:space="0"/>
              <w:right w:val="nil"/>
            </w:tcBorders>
            <w:vAlign w:val="center"/>
          </w:tcPr>
          <w:p w14:paraId="1E6A0E57">
            <w:pPr>
              <w:spacing w:before="0" w:after="0"/>
              <w:jc w:val="center"/>
            </w:pPr>
            <w:r>
              <w:rPr>
                <w:rFonts w:ascii="宋体" w:hAnsi="宋体" w:eastAsia="宋体"/>
                <w:b/>
                <w:sz w:val="21"/>
              </w:rPr>
              <w:t>主要来源</w:t>
            </w:r>
          </w:p>
        </w:tc>
        <w:tc>
          <w:tcPr>
            <w:tcW w:w="2076" w:type="dxa"/>
            <w:tcBorders>
              <w:top w:val="single" w:color="000000" w:sz="12" w:space="0"/>
              <w:left w:val="nil"/>
              <w:bottom w:val="single" w:color="000000" w:sz="12" w:space="0"/>
              <w:right w:val="nil"/>
            </w:tcBorders>
            <w:vAlign w:val="center"/>
          </w:tcPr>
          <w:p w14:paraId="0A5276A5">
            <w:pPr>
              <w:spacing w:before="0" w:after="0"/>
              <w:jc w:val="center"/>
            </w:pPr>
            <w:r>
              <w:rPr>
                <w:rFonts w:ascii="宋体" w:hAnsi="宋体" w:eastAsia="宋体"/>
                <w:b/>
                <w:sz w:val="21"/>
              </w:rPr>
              <w:t>统一粒度</w:t>
            </w:r>
          </w:p>
        </w:tc>
        <w:tc>
          <w:tcPr>
            <w:tcW w:w="2076" w:type="dxa"/>
            <w:tcBorders>
              <w:top w:val="single" w:color="000000" w:sz="12" w:space="0"/>
              <w:left w:val="nil"/>
              <w:bottom w:val="single" w:color="000000" w:sz="12" w:space="0"/>
              <w:right w:val="nil"/>
            </w:tcBorders>
            <w:vAlign w:val="center"/>
          </w:tcPr>
          <w:p w14:paraId="2D63B739">
            <w:pPr>
              <w:spacing w:before="0" w:after="0"/>
              <w:jc w:val="center"/>
            </w:pPr>
            <w:r>
              <w:rPr>
                <w:rFonts w:ascii="宋体" w:hAnsi="宋体" w:eastAsia="宋体"/>
                <w:b/>
                <w:sz w:val="21"/>
              </w:rPr>
              <w:t>结果规模</w:t>
            </w:r>
          </w:p>
        </w:tc>
      </w:tr>
      <w:tr w14:paraId="1A85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297B3B05">
            <w:pPr>
              <w:spacing w:before="0" w:after="0"/>
              <w:jc w:val="center"/>
            </w:pPr>
            <w:r>
              <w:rPr>
                <w:rFonts w:ascii="宋体" w:hAnsi="宋体" w:eastAsia="宋体"/>
                <w:b w:val="0"/>
                <w:sz w:val="21"/>
              </w:rPr>
              <w:t>网格节点</w:t>
            </w:r>
          </w:p>
        </w:tc>
        <w:tc>
          <w:tcPr>
            <w:tcW w:w="2076" w:type="dxa"/>
            <w:tcBorders>
              <w:top w:val="nil"/>
              <w:left w:val="nil"/>
              <w:bottom w:val="nil"/>
              <w:right w:val="nil"/>
            </w:tcBorders>
            <w:vAlign w:val="center"/>
          </w:tcPr>
          <w:p w14:paraId="19D97082">
            <w:pPr>
              <w:spacing w:before="0" w:after="0"/>
              <w:jc w:val="center"/>
            </w:pPr>
            <w:r>
              <w:rPr>
                <w:rFonts w:ascii="宋体" w:hAnsi="宋体" w:eastAsia="宋体"/>
                <w:b w:val="0"/>
                <w:sz w:val="21"/>
              </w:rPr>
              <w:t>南京研究区规则网格</w:t>
            </w:r>
          </w:p>
        </w:tc>
        <w:tc>
          <w:tcPr>
            <w:tcW w:w="2076" w:type="dxa"/>
            <w:tcBorders>
              <w:top w:val="nil"/>
              <w:left w:val="nil"/>
              <w:bottom w:val="nil"/>
              <w:right w:val="nil"/>
            </w:tcBorders>
            <w:vAlign w:val="center"/>
          </w:tcPr>
          <w:p w14:paraId="4FAEDF67">
            <w:pPr>
              <w:spacing w:before="0" w:after="0"/>
              <w:jc w:val="center"/>
            </w:pPr>
            <w:r>
              <w:rPr>
                <w:rFonts w:ascii="宋体" w:hAnsi="宋体" w:eastAsia="宋体"/>
                <w:b w:val="0"/>
                <w:sz w:val="21"/>
              </w:rPr>
              <w:t>空间网格</w:t>
            </w:r>
          </w:p>
        </w:tc>
        <w:tc>
          <w:tcPr>
            <w:tcW w:w="2076" w:type="dxa"/>
            <w:tcBorders>
              <w:top w:val="nil"/>
              <w:left w:val="nil"/>
              <w:bottom w:val="nil"/>
              <w:right w:val="nil"/>
            </w:tcBorders>
            <w:vAlign w:val="center"/>
          </w:tcPr>
          <w:p w14:paraId="4398057F">
            <w:pPr>
              <w:spacing w:before="0" w:after="0"/>
              <w:jc w:val="center"/>
            </w:pPr>
            <w:r>
              <w:rPr>
                <w:rFonts w:ascii="宋体" w:hAnsi="宋体" w:eastAsia="宋体"/>
                <w:b w:val="0"/>
                <w:sz w:val="21"/>
              </w:rPr>
              <w:t>309 个节点</w:t>
            </w:r>
          </w:p>
        </w:tc>
      </w:tr>
      <w:tr w14:paraId="4119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375817C9">
            <w:pPr>
              <w:spacing w:before="0" w:after="0"/>
              <w:jc w:val="center"/>
            </w:pPr>
            <w:r>
              <w:rPr>
                <w:rFonts w:ascii="宋体" w:hAnsi="宋体" w:eastAsia="宋体"/>
                <w:b w:val="0"/>
                <w:sz w:val="21"/>
              </w:rPr>
              <w:t>遥感地表特征</w:t>
            </w:r>
          </w:p>
        </w:tc>
        <w:tc>
          <w:tcPr>
            <w:tcW w:w="2076" w:type="dxa"/>
            <w:tcBorders>
              <w:top w:val="nil"/>
              <w:left w:val="nil"/>
              <w:bottom w:val="nil"/>
              <w:right w:val="nil"/>
            </w:tcBorders>
            <w:vAlign w:val="center"/>
          </w:tcPr>
          <w:p w14:paraId="1202A496">
            <w:pPr>
              <w:spacing w:before="0" w:after="0"/>
              <w:jc w:val="center"/>
            </w:pPr>
            <w:r>
              <w:rPr>
                <w:rFonts w:ascii="宋体" w:hAnsi="宋体" w:eastAsia="宋体"/>
                <w:b w:val="0"/>
                <w:sz w:val="21"/>
              </w:rPr>
              <w:t>高精度季度 Sentinel-2</w:t>
            </w:r>
          </w:p>
        </w:tc>
        <w:tc>
          <w:tcPr>
            <w:tcW w:w="2076" w:type="dxa"/>
            <w:tcBorders>
              <w:top w:val="nil"/>
              <w:left w:val="nil"/>
              <w:bottom w:val="nil"/>
              <w:right w:val="nil"/>
            </w:tcBorders>
            <w:vAlign w:val="center"/>
          </w:tcPr>
          <w:p w14:paraId="6ECD6E16">
            <w:pPr>
              <w:spacing w:before="0" w:after="0"/>
              <w:jc w:val="center"/>
            </w:pPr>
            <w:r>
              <w:rPr>
                <w:rFonts w:ascii="宋体" w:hAnsi="宋体" w:eastAsia="宋体"/>
                <w:b w:val="0"/>
                <w:sz w:val="21"/>
              </w:rPr>
              <w:t>309 节点 × 20 季度</w:t>
            </w:r>
          </w:p>
        </w:tc>
        <w:tc>
          <w:tcPr>
            <w:tcW w:w="2076" w:type="dxa"/>
            <w:tcBorders>
              <w:top w:val="nil"/>
              <w:left w:val="nil"/>
              <w:bottom w:val="nil"/>
              <w:right w:val="nil"/>
            </w:tcBorders>
            <w:vAlign w:val="center"/>
          </w:tcPr>
          <w:p w14:paraId="16D0C8AA">
            <w:pPr>
              <w:spacing w:before="0" w:after="0"/>
              <w:jc w:val="center"/>
            </w:pPr>
            <w:r>
              <w:rPr>
                <w:rFonts w:ascii="宋体" w:hAnsi="宋体" w:eastAsia="宋体"/>
                <w:b w:val="0"/>
                <w:sz w:val="21"/>
              </w:rPr>
              <w:t>6180 行</w:t>
            </w:r>
          </w:p>
        </w:tc>
      </w:tr>
      <w:tr w14:paraId="1952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202EA264">
            <w:pPr>
              <w:spacing w:before="0" w:after="0"/>
              <w:jc w:val="center"/>
            </w:pPr>
            <w:r>
              <w:rPr>
                <w:rFonts w:ascii="宋体" w:hAnsi="宋体" w:eastAsia="宋体"/>
                <w:b w:val="0"/>
                <w:sz w:val="21"/>
              </w:rPr>
              <w:t>气象特征</w:t>
            </w:r>
          </w:p>
        </w:tc>
        <w:tc>
          <w:tcPr>
            <w:tcW w:w="2076" w:type="dxa"/>
            <w:tcBorders>
              <w:top w:val="nil"/>
              <w:left w:val="nil"/>
              <w:bottom w:val="nil"/>
              <w:right w:val="nil"/>
            </w:tcBorders>
            <w:vAlign w:val="center"/>
          </w:tcPr>
          <w:p w14:paraId="0ABBBAE0">
            <w:pPr>
              <w:spacing w:before="0" w:after="0"/>
              <w:jc w:val="center"/>
            </w:pPr>
            <w:r>
              <w:rPr>
                <w:rFonts w:ascii="宋体" w:hAnsi="宋体" w:eastAsia="宋体"/>
                <w:b w:val="0"/>
                <w:sz w:val="21"/>
              </w:rPr>
              <w:t>ERA5 再分析数据</w:t>
            </w:r>
          </w:p>
        </w:tc>
        <w:tc>
          <w:tcPr>
            <w:tcW w:w="2076" w:type="dxa"/>
            <w:tcBorders>
              <w:top w:val="nil"/>
              <w:left w:val="nil"/>
              <w:bottom w:val="nil"/>
              <w:right w:val="nil"/>
            </w:tcBorders>
            <w:vAlign w:val="center"/>
          </w:tcPr>
          <w:p w14:paraId="3315FA37">
            <w:pPr>
              <w:spacing w:before="0" w:after="0"/>
              <w:jc w:val="center"/>
            </w:pPr>
            <w:r>
              <w:rPr>
                <w:rFonts w:ascii="宋体" w:hAnsi="宋体" w:eastAsia="宋体"/>
                <w:b w:val="0"/>
                <w:sz w:val="21"/>
              </w:rPr>
              <w:t>309 节点 × 20 季度</w:t>
            </w:r>
          </w:p>
        </w:tc>
        <w:tc>
          <w:tcPr>
            <w:tcW w:w="2076" w:type="dxa"/>
            <w:tcBorders>
              <w:top w:val="nil"/>
              <w:left w:val="nil"/>
              <w:bottom w:val="nil"/>
              <w:right w:val="nil"/>
            </w:tcBorders>
            <w:vAlign w:val="center"/>
          </w:tcPr>
          <w:p w14:paraId="3D53B22A">
            <w:pPr>
              <w:spacing w:before="0" w:after="0"/>
              <w:jc w:val="center"/>
            </w:pPr>
            <w:r>
              <w:rPr>
                <w:rFonts w:ascii="宋体" w:hAnsi="宋体" w:eastAsia="宋体"/>
                <w:b w:val="0"/>
                <w:sz w:val="21"/>
              </w:rPr>
              <w:t>6180 行</w:t>
            </w:r>
          </w:p>
        </w:tc>
      </w:tr>
      <w:tr w14:paraId="444C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162C49C2">
            <w:pPr>
              <w:spacing w:before="0" w:after="0"/>
              <w:jc w:val="center"/>
            </w:pPr>
            <w:r>
              <w:rPr>
                <w:rFonts w:ascii="宋体" w:hAnsi="宋体" w:eastAsia="宋体"/>
                <w:b w:val="0"/>
                <w:sz w:val="21"/>
              </w:rPr>
              <w:t>排放代理</w:t>
            </w:r>
          </w:p>
        </w:tc>
        <w:tc>
          <w:tcPr>
            <w:tcW w:w="2076" w:type="dxa"/>
            <w:tcBorders>
              <w:top w:val="nil"/>
              <w:left w:val="nil"/>
              <w:bottom w:val="nil"/>
              <w:right w:val="nil"/>
            </w:tcBorders>
            <w:vAlign w:val="center"/>
          </w:tcPr>
          <w:p w14:paraId="686EB6C3">
            <w:pPr>
              <w:spacing w:before="0" w:after="0"/>
              <w:jc w:val="center"/>
            </w:pPr>
            <w:r>
              <w:rPr>
                <w:rFonts w:ascii="宋体" w:hAnsi="宋体" w:eastAsia="宋体"/>
                <w:b w:val="0"/>
                <w:sz w:val="21"/>
              </w:rPr>
              <w:t>EDGAR 排放数据</w:t>
            </w:r>
          </w:p>
        </w:tc>
        <w:tc>
          <w:tcPr>
            <w:tcW w:w="2076" w:type="dxa"/>
            <w:tcBorders>
              <w:top w:val="nil"/>
              <w:left w:val="nil"/>
              <w:bottom w:val="nil"/>
              <w:right w:val="nil"/>
            </w:tcBorders>
            <w:vAlign w:val="center"/>
          </w:tcPr>
          <w:p w14:paraId="306249FF">
            <w:pPr>
              <w:spacing w:before="0" w:after="0"/>
              <w:jc w:val="center"/>
            </w:pPr>
            <w:r>
              <w:rPr>
                <w:rFonts w:ascii="宋体" w:hAnsi="宋体" w:eastAsia="宋体"/>
                <w:b w:val="0"/>
                <w:sz w:val="21"/>
              </w:rPr>
              <w:t>309 节点 × 20 季度</w:t>
            </w:r>
          </w:p>
        </w:tc>
        <w:tc>
          <w:tcPr>
            <w:tcW w:w="2076" w:type="dxa"/>
            <w:tcBorders>
              <w:top w:val="nil"/>
              <w:left w:val="nil"/>
              <w:bottom w:val="nil"/>
              <w:right w:val="nil"/>
            </w:tcBorders>
            <w:vAlign w:val="center"/>
          </w:tcPr>
          <w:p w14:paraId="6E1FEA44">
            <w:pPr>
              <w:spacing w:before="0" w:after="0"/>
              <w:jc w:val="center"/>
            </w:pPr>
            <w:r>
              <w:rPr>
                <w:rFonts w:ascii="宋体" w:hAnsi="宋体" w:eastAsia="宋体"/>
                <w:b w:val="0"/>
                <w:sz w:val="21"/>
              </w:rPr>
              <w:t>6180 行</w:t>
            </w:r>
          </w:p>
        </w:tc>
      </w:tr>
      <w:tr w14:paraId="1EC6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single" w:color="000000" w:sz="12" w:space="0"/>
              <w:right w:val="nil"/>
            </w:tcBorders>
            <w:vAlign w:val="center"/>
          </w:tcPr>
          <w:p w14:paraId="0672A47E">
            <w:pPr>
              <w:spacing w:before="0" w:after="0"/>
              <w:jc w:val="center"/>
            </w:pPr>
            <w:r>
              <w:rPr>
                <w:rFonts w:ascii="宋体" w:hAnsi="宋体" w:eastAsia="宋体"/>
                <w:b w:val="0"/>
                <w:sz w:val="21"/>
              </w:rPr>
              <w:t>质量控制标签</w:t>
            </w:r>
          </w:p>
        </w:tc>
        <w:tc>
          <w:tcPr>
            <w:tcW w:w="2076" w:type="dxa"/>
            <w:tcBorders>
              <w:top w:val="nil"/>
              <w:left w:val="nil"/>
              <w:bottom w:val="single" w:color="000000" w:sz="12" w:space="0"/>
              <w:right w:val="nil"/>
            </w:tcBorders>
            <w:vAlign w:val="center"/>
          </w:tcPr>
          <w:p w14:paraId="3247A25E">
            <w:pPr>
              <w:spacing w:before="0" w:after="0"/>
              <w:jc w:val="center"/>
            </w:pPr>
            <w:r>
              <w:rPr>
                <w:rFonts w:ascii="宋体" w:hAnsi="宋体" w:eastAsia="宋体"/>
                <w:b w:val="0"/>
                <w:sz w:val="21"/>
              </w:rPr>
              <w:t>季度净碳通量标签</w:t>
            </w:r>
          </w:p>
        </w:tc>
        <w:tc>
          <w:tcPr>
            <w:tcW w:w="2076" w:type="dxa"/>
            <w:tcBorders>
              <w:top w:val="nil"/>
              <w:left w:val="nil"/>
              <w:bottom w:val="single" w:color="000000" w:sz="12" w:space="0"/>
              <w:right w:val="nil"/>
            </w:tcBorders>
            <w:vAlign w:val="center"/>
          </w:tcPr>
          <w:p w14:paraId="59CE32F0">
            <w:pPr>
              <w:spacing w:before="0" w:after="0"/>
              <w:jc w:val="center"/>
            </w:pPr>
            <w:r>
              <w:rPr>
                <w:rFonts w:ascii="宋体" w:hAnsi="宋体" w:eastAsia="宋体"/>
                <w:b w:val="0"/>
                <w:sz w:val="21"/>
              </w:rPr>
              <w:t>节点-季度监督标签</w:t>
            </w:r>
          </w:p>
        </w:tc>
        <w:tc>
          <w:tcPr>
            <w:tcW w:w="2076" w:type="dxa"/>
            <w:tcBorders>
              <w:top w:val="nil"/>
              <w:left w:val="nil"/>
              <w:bottom w:val="single" w:color="000000" w:sz="12" w:space="0"/>
              <w:right w:val="nil"/>
            </w:tcBorders>
            <w:vAlign w:val="center"/>
          </w:tcPr>
          <w:p w14:paraId="4A3AFD08">
            <w:pPr>
              <w:spacing w:before="0" w:after="0"/>
              <w:jc w:val="center"/>
            </w:pPr>
            <w:r>
              <w:rPr>
                <w:rFonts w:ascii="宋体" w:hAnsi="宋体" w:eastAsia="宋体"/>
                <w:b w:val="0"/>
                <w:sz w:val="21"/>
              </w:rPr>
              <w:t>6489 行</w:t>
            </w:r>
          </w:p>
        </w:tc>
      </w:tr>
    </w:tbl>
    <w:p w14:paraId="28A47CB9">
      <w:pPr>
        <w:pStyle w:val="41"/>
      </w:pPr>
    </w:p>
    <w:p w14:paraId="3B9ABE64">
      <w:pPr>
        <w:pStyle w:val="4"/>
        <w:numPr>
          <w:ilvl w:val="1"/>
          <w:numId w:val="0"/>
        </w:numPr>
        <w:ind w:left="0" w:leftChars="0" w:firstLine="0" w:firstLineChars="0"/>
      </w:pPr>
      <w:bookmarkStart w:id="9" w:name="_Toc26868"/>
      <w:r>
        <w:rPr>
          <w:rFonts w:hint="eastAsia" w:ascii="Arial" w:hAnsi="Arial" w:eastAsia="黑体" w:cstheme="majorBidi"/>
          <w:bCs/>
          <w:kern w:val="2"/>
          <w:sz w:val="30"/>
          <w:szCs w:val="32"/>
          <w:lang w:val="en-US" w:eastAsia="zh-CN" w:bidi="ar-SA"/>
        </w:rPr>
        <w:t>3.3</w:t>
      </w:r>
      <w:r>
        <w:t>核心建模策略与参数组织</w:t>
      </w:r>
      <w:bookmarkEnd w:id="9"/>
    </w:p>
    <w:p w14:paraId="1E5DECEB">
      <w:pPr>
        <w:pStyle w:val="3"/>
        <w:jc w:val="both"/>
      </w:pPr>
      <w:r>
        <w:rPr>
          <w:sz w:val="24"/>
        </w:rPr>
        <w:t>在模型设计上，作品没有选择一味堆叠复杂网络，而是根据现有数据规模采取了“轻量图结构 + 时序建模 + 结果复验”的稳健策略。正式训练集中共包含 20 个季度、309 个节点和 11 个输入特征，其中既包括 6 类地表覆盖与植被表征，也包括地表温度、风场、降水和排放代理变量。多步 ST-GNN 使用 4 个季度作为输入窗口，对未来 2 个季度进行滚动预测；单步 ST-GNN 则聚焦单期预测；LSTM 基线用于给出无图结构条件下的对照结果。邻接矩阵采用 hybrid_wind_knn 构造方式，把距离半径、k 近邻、风向传播与特征相似度一并纳入建图逻辑，这一设计在后续参数优化中也被证明比默认配置更有提升空间。</w:t>
      </w:r>
    </w:p>
    <w:p w14:paraId="634C1694">
      <w:pPr>
        <w:pStyle w:val="12"/>
        <w:jc w:val="center"/>
      </w:pPr>
      <w:r>
        <w:t xml:space="preserve">表 </w:t>
      </w:r>
      <w:r>
        <w:rPr>
          <w:rFonts w:hint="eastAsia"/>
          <w:lang w:val="en-US" w:eastAsia="zh-CN"/>
        </w:rPr>
        <w:t>2</w:t>
      </w:r>
      <w:r>
        <w:t xml:space="preserve">  系统模块与核心职责</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2210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single" w:color="000000" w:sz="12" w:space="0"/>
              <w:left w:val="nil"/>
              <w:bottom w:val="single" w:color="000000" w:sz="12" w:space="0"/>
              <w:right w:val="nil"/>
            </w:tcBorders>
            <w:vAlign w:val="center"/>
          </w:tcPr>
          <w:p w14:paraId="37243660">
            <w:pPr>
              <w:spacing w:before="0" w:after="0"/>
              <w:jc w:val="center"/>
            </w:pPr>
            <w:r>
              <w:rPr>
                <w:rFonts w:ascii="宋体" w:hAnsi="宋体" w:eastAsia="宋体"/>
                <w:b/>
                <w:sz w:val="21"/>
              </w:rPr>
              <w:t>模块层</w:t>
            </w:r>
          </w:p>
        </w:tc>
        <w:tc>
          <w:tcPr>
            <w:tcW w:w="2769" w:type="dxa"/>
            <w:tcBorders>
              <w:top w:val="single" w:color="000000" w:sz="12" w:space="0"/>
              <w:left w:val="nil"/>
              <w:bottom w:val="single" w:color="000000" w:sz="12" w:space="0"/>
              <w:right w:val="nil"/>
            </w:tcBorders>
            <w:vAlign w:val="center"/>
          </w:tcPr>
          <w:p w14:paraId="237E6269">
            <w:pPr>
              <w:spacing w:before="0" w:after="0"/>
              <w:jc w:val="center"/>
            </w:pPr>
            <w:r>
              <w:rPr>
                <w:rFonts w:ascii="宋体" w:hAnsi="宋体" w:eastAsia="宋体"/>
                <w:b/>
                <w:sz w:val="21"/>
              </w:rPr>
              <w:t>核心实现</w:t>
            </w:r>
          </w:p>
        </w:tc>
        <w:tc>
          <w:tcPr>
            <w:tcW w:w="2769" w:type="dxa"/>
            <w:tcBorders>
              <w:top w:val="single" w:color="000000" w:sz="12" w:space="0"/>
              <w:left w:val="nil"/>
              <w:bottom w:val="single" w:color="000000" w:sz="12" w:space="0"/>
              <w:right w:val="nil"/>
            </w:tcBorders>
            <w:vAlign w:val="center"/>
          </w:tcPr>
          <w:p w14:paraId="482C1B8E">
            <w:pPr>
              <w:spacing w:before="0" w:after="0"/>
              <w:jc w:val="center"/>
            </w:pPr>
            <w:r>
              <w:rPr>
                <w:rFonts w:ascii="宋体" w:hAnsi="宋体" w:eastAsia="宋体"/>
                <w:b/>
                <w:sz w:val="21"/>
              </w:rPr>
              <w:t>输出结果</w:t>
            </w:r>
          </w:p>
        </w:tc>
      </w:tr>
      <w:tr w14:paraId="31F0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tcBorders>
            <w:vAlign w:val="center"/>
          </w:tcPr>
          <w:p w14:paraId="35CCFD81">
            <w:pPr>
              <w:spacing w:before="0" w:after="0"/>
              <w:jc w:val="center"/>
            </w:pPr>
            <w:r>
              <w:rPr>
                <w:rFonts w:ascii="宋体" w:hAnsi="宋体" w:eastAsia="宋体"/>
                <w:b w:val="0"/>
                <w:sz w:val="21"/>
              </w:rPr>
              <w:t>数据处理层</w:t>
            </w:r>
          </w:p>
        </w:tc>
        <w:tc>
          <w:tcPr>
            <w:tcW w:w="2769" w:type="dxa"/>
            <w:tcBorders>
              <w:top w:val="nil"/>
              <w:left w:val="nil"/>
              <w:bottom w:val="nil"/>
              <w:right w:val="nil"/>
            </w:tcBorders>
            <w:vAlign w:val="center"/>
          </w:tcPr>
          <w:p w14:paraId="73224A79">
            <w:pPr>
              <w:spacing w:before="0" w:after="0"/>
              <w:jc w:val="left"/>
            </w:pPr>
            <w:r>
              <w:rPr>
                <w:rFonts w:ascii="宋体" w:hAnsi="宋体" w:eastAsia="宋体"/>
                <w:b w:val="0"/>
                <w:sz w:val="21"/>
              </w:rPr>
              <w:t>季度遥感重建、ERA5/EDGAR 对齐、质量控制</w:t>
            </w:r>
          </w:p>
        </w:tc>
        <w:tc>
          <w:tcPr>
            <w:tcW w:w="2769" w:type="dxa"/>
            <w:tcBorders>
              <w:top w:val="nil"/>
              <w:left w:val="nil"/>
              <w:bottom w:val="nil"/>
              <w:right w:val="nil"/>
            </w:tcBorders>
            <w:vAlign w:val="center"/>
          </w:tcPr>
          <w:p w14:paraId="3F005FBC">
            <w:pPr>
              <w:spacing w:before="0" w:after="0"/>
              <w:jc w:val="left"/>
            </w:pPr>
            <w:r>
              <w:rPr>
                <w:rFonts w:ascii="宋体" w:hAnsi="宋体" w:eastAsia="宋体"/>
                <w:b w:val="0"/>
                <w:sz w:val="21"/>
              </w:rPr>
              <w:t>统一训练数据集与特征统计</w:t>
            </w:r>
          </w:p>
        </w:tc>
      </w:tr>
      <w:tr w14:paraId="3049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tcBorders>
            <w:vAlign w:val="center"/>
          </w:tcPr>
          <w:p w14:paraId="53D15B09">
            <w:pPr>
              <w:spacing w:before="0" w:after="0"/>
              <w:jc w:val="center"/>
            </w:pPr>
            <w:r>
              <w:rPr>
                <w:rFonts w:ascii="宋体" w:hAnsi="宋体" w:eastAsia="宋体"/>
                <w:b w:val="0"/>
                <w:sz w:val="21"/>
              </w:rPr>
              <w:t>模型训练层</w:t>
            </w:r>
          </w:p>
        </w:tc>
        <w:tc>
          <w:tcPr>
            <w:tcW w:w="2769" w:type="dxa"/>
            <w:tcBorders>
              <w:top w:val="nil"/>
              <w:left w:val="nil"/>
              <w:bottom w:val="nil"/>
              <w:right w:val="nil"/>
            </w:tcBorders>
            <w:vAlign w:val="center"/>
          </w:tcPr>
          <w:p w14:paraId="490450E0">
            <w:pPr>
              <w:spacing w:before="0" w:after="0"/>
              <w:jc w:val="left"/>
            </w:pPr>
            <w:r>
              <w:rPr>
                <w:rFonts w:ascii="宋体" w:hAnsi="宋体" w:eastAsia="宋体"/>
                <w:b w:val="0"/>
                <w:sz w:val="21"/>
              </w:rPr>
              <w:t>LSTM、多步 ST-GNN、单步 ST-GNN</w:t>
            </w:r>
          </w:p>
        </w:tc>
        <w:tc>
          <w:tcPr>
            <w:tcW w:w="2769" w:type="dxa"/>
            <w:tcBorders>
              <w:top w:val="nil"/>
              <w:left w:val="nil"/>
              <w:bottom w:val="nil"/>
              <w:right w:val="nil"/>
            </w:tcBorders>
            <w:vAlign w:val="center"/>
          </w:tcPr>
          <w:p w14:paraId="309D82E8">
            <w:pPr>
              <w:spacing w:before="0" w:after="0"/>
              <w:jc w:val="left"/>
            </w:pPr>
            <w:r>
              <w:rPr>
                <w:rFonts w:ascii="宋体" w:hAnsi="宋体" w:eastAsia="宋体"/>
                <w:b w:val="0"/>
                <w:sz w:val="21"/>
              </w:rPr>
              <w:t>权重文件、预测结果、评估指标</w:t>
            </w:r>
          </w:p>
        </w:tc>
      </w:tr>
      <w:tr w14:paraId="7913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tcBorders>
            <w:vAlign w:val="center"/>
          </w:tcPr>
          <w:p w14:paraId="2B73DECB">
            <w:pPr>
              <w:spacing w:before="0" w:after="0"/>
              <w:jc w:val="center"/>
            </w:pPr>
            <w:r>
              <w:rPr>
                <w:rFonts w:ascii="宋体" w:hAnsi="宋体" w:eastAsia="宋体"/>
                <w:b w:val="0"/>
                <w:sz w:val="21"/>
              </w:rPr>
              <w:t>推演执行层</w:t>
            </w:r>
          </w:p>
        </w:tc>
        <w:tc>
          <w:tcPr>
            <w:tcW w:w="2769" w:type="dxa"/>
            <w:tcBorders>
              <w:top w:val="nil"/>
              <w:left w:val="nil"/>
              <w:bottom w:val="nil"/>
              <w:right w:val="nil"/>
            </w:tcBorders>
            <w:vAlign w:val="center"/>
          </w:tcPr>
          <w:p w14:paraId="67924C97">
            <w:pPr>
              <w:spacing w:before="0" w:after="0"/>
              <w:jc w:val="left"/>
            </w:pPr>
            <w:r>
              <w:rPr>
                <w:rFonts w:ascii="宋体" w:hAnsi="宋体" w:eastAsia="宋体"/>
                <w:b w:val="0"/>
                <w:sz w:val="21"/>
              </w:rPr>
              <w:t>区域框选、节点筛选、情景扰动与结果回写</w:t>
            </w:r>
          </w:p>
        </w:tc>
        <w:tc>
          <w:tcPr>
            <w:tcW w:w="2769" w:type="dxa"/>
            <w:tcBorders>
              <w:top w:val="nil"/>
              <w:left w:val="nil"/>
              <w:bottom w:val="nil"/>
              <w:right w:val="nil"/>
            </w:tcBorders>
            <w:vAlign w:val="center"/>
          </w:tcPr>
          <w:p w14:paraId="714D1073">
            <w:pPr>
              <w:spacing w:before="0" w:after="0"/>
              <w:jc w:val="left"/>
            </w:pPr>
            <w:r>
              <w:rPr>
                <w:rFonts w:ascii="宋体" w:hAnsi="宋体" w:eastAsia="宋体"/>
                <w:b w:val="0"/>
                <w:sz w:val="21"/>
              </w:rPr>
              <w:t>baseline/scenario/delta 结果</w:t>
            </w:r>
          </w:p>
        </w:tc>
      </w:tr>
      <w:tr w14:paraId="6817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tcBorders>
            <w:vAlign w:val="center"/>
          </w:tcPr>
          <w:p w14:paraId="04BFB3DF">
            <w:pPr>
              <w:spacing w:before="0" w:after="0"/>
              <w:jc w:val="center"/>
            </w:pPr>
            <w:r>
              <w:rPr>
                <w:rFonts w:ascii="宋体" w:hAnsi="宋体" w:eastAsia="宋体"/>
                <w:b w:val="0"/>
                <w:sz w:val="21"/>
              </w:rPr>
              <w:t>服务聚合层</w:t>
            </w:r>
          </w:p>
        </w:tc>
        <w:tc>
          <w:tcPr>
            <w:tcW w:w="2769" w:type="dxa"/>
            <w:tcBorders>
              <w:top w:val="nil"/>
              <w:left w:val="nil"/>
              <w:bottom w:val="nil"/>
              <w:right w:val="nil"/>
            </w:tcBorders>
            <w:vAlign w:val="center"/>
          </w:tcPr>
          <w:p w14:paraId="3140D099">
            <w:pPr>
              <w:spacing w:before="0" w:after="0"/>
              <w:jc w:val="left"/>
            </w:pPr>
            <w:r>
              <w:rPr>
                <w:rFonts w:ascii="宋体" w:hAnsi="宋体" w:eastAsia="宋体"/>
                <w:b w:val="0"/>
                <w:sz w:val="21"/>
              </w:rPr>
              <w:t>FastAPI 接口、模型产物加载、场景任务执行</w:t>
            </w:r>
          </w:p>
        </w:tc>
        <w:tc>
          <w:tcPr>
            <w:tcW w:w="2769" w:type="dxa"/>
            <w:tcBorders>
              <w:top w:val="nil"/>
              <w:left w:val="nil"/>
              <w:bottom w:val="nil"/>
              <w:right w:val="nil"/>
            </w:tcBorders>
            <w:vAlign w:val="center"/>
          </w:tcPr>
          <w:p w14:paraId="38BB5F32">
            <w:pPr>
              <w:spacing w:before="0" w:after="0"/>
              <w:jc w:val="left"/>
            </w:pPr>
            <w:r>
              <w:rPr>
                <w:rFonts w:ascii="宋体" w:hAnsi="宋体" w:eastAsia="宋体"/>
                <w:b w:val="0"/>
                <w:sz w:val="21"/>
              </w:rPr>
              <w:t>仪表板接口、推演接口、健康检查</w:t>
            </w:r>
          </w:p>
        </w:tc>
      </w:tr>
      <w:tr w14:paraId="2836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tcBorders>
            <w:vAlign w:val="center"/>
          </w:tcPr>
          <w:p w14:paraId="336F05F2">
            <w:pPr>
              <w:spacing w:before="0" w:after="0"/>
              <w:jc w:val="center"/>
            </w:pPr>
            <w:r>
              <w:rPr>
                <w:rFonts w:ascii="宋体" w:hAnsi="宋体" w:eastAsia="宋体"/>
                <w:b w:val="0"/>
                <w:sz w:val="21"/>
              </w:rPr>
              <w:t>前端展示层</w:t>
            </w:r>
          </w:p>
        </w:tc>
        <w:tc>
          <w:tcPr>
            <w:tcW w:w="2769" w:type="dxa"/>
            <w:tcBorders>
              <w:top w:val="nil"/>
              <w:left w:val="nil"/>
              <w:bottom w:val="nil"/>
              <w:right w:val="nil"/>
            </w:tcBorders>
            <w:vAlign w:val="center"/>
          </w:tcPr>
          <w:p w14:paraId="67F8D7B6">
            <w:pPr>
              <w:spacing w:before="0" w:after="0"/>
              <w:jc w:val="left"/>
            </w:pPr>
            <w:r>
              <w:rPr>
                <w:rFonts w:ascii="宋体" w:hAnsi="宋体" w:eastAsia="宋体"/>
                <w:b w:val="0"/>
                <w:sz w:val="21"/>
              </w:rPr>
              <w:t>Vue 3、Cesium、统计卡片与情景交互</w:t>
            </w:r>
          </w:p>
        </w:tc>
        <w:tc>
          <w:tcPr>
            <w:tcW w:w="2769" w:type="dxa"/>
            <w:tcBorders>
              <w:top w:val="nil"/>
              <w:left w:val="nil"/>
              <w:bottom w:val="nil"/>
              <w:right w:val="nil"/>
            </w:tcBorders>
            <w:vAlign w:val="center"/>
          </w:tcPr>
          <w:p w14:paraId="6B0A6FC5">
            <w:pPr>
              <w:spacing w:before="0" w:after="0"/>
              <w:jc w:val="left"/>
            </w:pPr>
            <w:r>
              <w:rPr>
                <w:rFonts w:ascii="宋体" w:hAnsi="宋体" w:eastAsia="宋体"/>
                <w:b w:val="0"/>
                <w:sz w:val="21"/>
              </w:rPr>
              <w:t>地图界面与模型展示</w:t>
            </w:r>
          </w:p>
        </w:tc>
      </w:tr>
      <w:tr w14:paraId="3447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single" w:color="000000" w:sz="12" w:space="0"/>
              <w:right w:val="nil"/>
            </w:tcBorders>
            <w:vAlign w:val="center"/>
          </w:tcPr>
          <w:p w14:paraId="7981EABA">
            <w:pPr>
              <w:spacing w:before="0" w:after="0"/>
              <w:jc w:val="center"/>
            </w:pPr>
            <w:r>
              <w:rPr>
                <w:rFonts w:ascii="宋体" w:hAnsi="宋体" w:eastAsia="宋体"/>
                <w:b w:val="0"/>
                <w:sz w:val="21"/>
              </w:rPr>
              <w:t>交付部署层</w:t>
            </w:r>
          </w:p>
        </w:tc>
        <w:tc>
          <w:tcPr>
            <w:tcW w:w="2769" w:type="dxa"/>
            <w:tcBorders>
              <w:top w:val="nil"/>
              <w:left w:val="nil"/>
              <w:bottom w:val="single" w:color="000000" w:sz="12" w:space="0"/>
              <w:right w:val="nil"/>
            </w:tcBorders>
            <w:vAlign w:val="center"/>
          </w:tcPr>
          <w:p w14:paraId="0CBE52F0">
            <w:pPr>
              <w:spacing w:before="0" w:after="0"/>
              <w:jc w:val="left"/>
            </w:pPr>
            <w:r>
              <w:rPr>
                <w:rFonts w:ascii="宋体" w:hAnsi="宋体" w:eastAsia="宋体"/>
                <w:b w:val="0"/>
                <w:sz w:val="21"/>
              </w:rPr>
              <w:t>一键启动脚本、Docker 镜像与 Release 包</w:t>
            </w:r>
          </w:p>
        </w:tc>
        <w:tc>
          <w:tcPr>
            <w:tcW w:w="2769" w:type="dxa"/>
            <w:tcBorders>
              <w:top w:val="nil"/>
              <w:left w:val="nil"/>
              <w:bottom w:val="single" w:color="000000" w:sz="12" w:space="0"/>
              <w:right w:val="nil"/>
            </w:tcBorders>
            <w:vAlign w:val="center"/>
          </w:tcPr>
          <w:p w14:paraId="731E51A5">
            <w:pPr>
              <w:spacing w:before="0" w:after="0"/>
              <w:jc w:val="left"/>
            </w:pPr>
            <w:r>
              <w:rPr>
                <w:rFonts w:ascii="宋体" w:hAnsi="宋体" w:eastAsia="宋体"/>
                <w:b w:val="0"/>
                <w:sz w:val="21"/>
              </w:rPr>
              <w:t>可复现部署与快速交付</w:t>
            </w:r>
          </w:p>
        </w:tc>
      </w:tr>
    </w:tbl>
    <w:p w14:paraId="1F9552B6">
      <w:pPr>
        <w:pStyle w:val="41"/>
      </w:pPr>
    </w:p>
    <w:p w14:paraId="700312AE">
      <w:pPr>
        <w:pStyle w:val="12"/>
        <w:jc w:val="center"/>
      </w:pPr>
      <w:r>
        <w:t xml:space="preserve">表 </w:t>
      </w:r>
      <w:r>
        <w:rPr>
          <w:rFonts w:hint="eastAsia"/>
          <w:lang w:val="en-US" w:eastAsia="zh-CN"/>
        </w:rPr>
        <w:t>3</w:t>
      </w:r>
      <w:r>
        <w:t xml:space="preserve">  正式模型关键训练配置</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4"/>
        <w:gridCol w:w="1484"/>
        <w:gridCol w:w="1484"/>
        <w:gridCol w:w="1484"/>
        <w:gridCol w:w="2526"/>
      </w:tblGrid>
      <w:tr w14:paraId="22B8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single" w:color="000000" w:sz="12" w:space="0"/>
              <w:left w:val="nil"/>
              <w:bottom w:val="single" w:color="000000" w:sz="12" w:space="0"/>
              <w:right w:val="nil"/>
            </w:tcBorders>
            <w:vAlign w:val="center"/>
          </w:tcPr>
          <w:p w14:paraId="377E91BA">
            <w:pPr>
              <w:spacing w:before="0" w:after="0"/>
              <w:jc w:val="center"/>
            </w:pPr>
            <w:r>
              <w:rPr>
                <w:rFonts w:ascii="宋体" w:hAnsi="宋体" w:eastAsia="宋体"/>
                <w:b/>
                <w:sz w:val="21"/>
              </w:rPr>
              <w:t>模型</w:t>
            </w:r>
          </w:p>
        </w:tc>
        <w:tc>
          <w:tcPr>
            <w:tcW w:w="1661" w:type="dxa"/>
            <w:tcBorders>
              <w:top w:val="single" w:color="000000" w:sz="12" w:space="0"/>
              <w:left w:val="nil"/>
              <w:bottom w:val="single" w:color="000000" w:sz="12" w:space="0"/>
              <w:right w:val="nil"/>
            </w:tcBorders>
            <w:vAlign w:val="center"/>
          </w:tcPr>
          <w:p w14:paraId="00AC8F4F">
            <w:pPr>
              <w:spacing w:before="0" w:after="0"/>
              <w:jc w:val="center"/>
            </w:pPr>
            <w:r>
              <w:rPr>
                <w:rFonts w:ascii="宋体" w:hAnsi="宋体" w:eastAsia="宋体"/>
                <w:b/>
                <w:sz w:val="21"/>
              </w:rPr>
              <w:t>输入窗口</w:t>
            </w:r>
          </w:p>
        </w:tc>
        <w:tc>
          <w:tcPr>
            <w:tcW w:w="1661" w:type="dxa"/>
            <w:tcBorders>
              <w:top w:val="single" w:color="000000" w:sz="12" w:space="0"/>
              <w:left w:val="nil"/>
              <w:bottom w:val="single" w:color="000000" w:sz="12" w:space="0"/>
              <w:right w:val="nil"/>
            </w:tcBorders>
            <w:vAlign w:val="center"/>
          </w:tcPr>
          <w:p w14:paraId="41B81F23">
            <w:pPr>
              <w:spacing w:before="0" w:after="0"/>
              <w:jc w:val="center"/>
            </w:pPr>
            <w:r>
              <w:rPr>
                <w:rFonts w:ascii="宋体" w:hAnsi="宋体" w:eastAsia="宋体"/>
                <w:b/>
                <w:sz w:val="21"/>
              </w:rPr>
              <w:t>预测步长</w:t>
            </w:r>
          </w:p>
        </w:tc>
        <w:tc>
          <w:tcPr>
            <w:tcW w:w="1661" w:type="dxa"/>
            <w:tcBorders>
              <w:top w:val="single" w:color="000000" w:sz="12" w:space="0"/>
              <w:left w:val="nil"/>
              <w:bottom w:val="single" w:color="000000" w:sz="12" w:space="0"/>
              <w:right w:val="nil"/>
            </w:tcBorders>
            <w:vAlign w:val="center"/>
          </w:tcPr>
          <w:p w14:paraId="6BC1EEFC">
            <w:pPr>
              <w:spacing w:before="0" w:after="0"/>
              <w:jc w:val="center"/>
            </w:pPr>
            <w:r>
              <w:rPr>
                <w:rFonts w:ascii="宋体" w:hAnsi="宋体" w:eastAsia="宋体"/>
                <w:b/>
                <w:sz w:val="21"/>
              </w:rPr>
              <w:t>输入特征数</w:t>
            </w:r>
          </w:p>
        </w:tc>
        <w:tc>
          <w:tcPr>
            <w:tcW w:w="1661" w:type="dxa"/>
            <w:tcBorders>
              <w:top w:val="single" w:color="000000" w:sz="12" w:space="0"/>
              <w:left w:val="nil"/>
              <w:bottom w:val="single" w:color="000000" w:sz="12" w:space="0"/>
              <w:right w:val="nil"/>
            </w:tcBorders>
            <w:vAlign w:val="center"/>
          </w:tcPr>
          <w:p w14:paraId="0025A6A7">
            <w:pPr>
              <w:spacing w:before="0" w:after="0"/>
              <w:jc w:val="center"/>
            </w:pPr>
            <w:r>
              <w:rPr>
                <w:rFonts w:ascii="宋体" w:hAnsi="宋体" w:eastAsia="宋体"/>
                <w:b/>
                <w:sz w:val="21"/>
              </w:rPr>
              <w:t>关键设置</w:t>
            </w:r>
          </w:p>
        </w:tc>
      </w:tr>
      <w:tr w14:paraId="5D69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nil"/>
              <w:right w:val="nil"/>
            </w:tcBorders>
            <w:vAlign w:val="center"/>
          </w:tcPr>
          <w:p w14:paraId="12C145E4">
            <w:pPr>
              <w:spacing w:before="0" w:after="0"/>
              <w:jc w:val="center"/>
            </w:pPr>
            <w:r>
              <w:rPr>
                <w:rFonts w:ascii="宋体" w:hAnsi="宋体" w:eastAsia="宋体"/>
                <w:b w:val="0"/>
                <w:sz w:val="21"/>
              </w:rPr>
              <w:t>LSTM 多步基线</w:t>
            </w:r>
          </w:p>
        </w:tc>
        <w:tc>
          <w:tcPr>
            <w:tcW w:w="1661" w:type="dxa"/>
            <w:tcBorders>
              <w:top w:val="nil"/>
              <w:left w:val="nil"/>
              <w:bottom w:val="nil"/>
              <w:right w:val="nil"/>
            </w:tcBorders>
            <w:vAlign w:val="center"/>
          </w:tcPr>
          <w:p w14:paraId="4BE832C8">
            <w:pPr>
              <w:spacing w:before="0" w:after="0"/>
              <w:jc w:val="center"/>
            </w:pPr>
            <w:r>
              <w:rPr>
                <w:rFonts w:ascii="宋体" w:hAnsi="宋体" w:eastAsia="宋体"/>
                <w:b w:val="0"/>
                <w:sz w:val="21"/>
              </w:rPr>
              <w:t>4</w:t>
            </w:r>
          </w:p>
        </w:tc>
        <w:tc>
          <w:tcPr>
            <w:tcW w:w="1661" w:type="dxa"/>
            <w:tcBorders>
              <w:top w:val="nil"/>
              <w:left w:val="nil"/>
              <w:bottom w:val="nil"/>
              <w:right w:val="nil"/>
            </w:tcBorders>
            <w:vAlign w:val="center"/>
          </w:tcPr>
          <w:p w14:paraId="7C0FE283">
            <w:pPr>
              <w:spacing w:before="0" w:after="0"/>
              <w:jc w:val="center"/>
            </w:pPr>
            <w:r>
              <w:rPr>
                <w:rFonts w:ascii="宋体" w:hAnsi="宋体" w:eastAsia="宋体"/>
                <w:b w:val="0"/>
                <w:sz w:val="21"/>
              </w:rPr>
              <w:t>2</w:t>
            </w:r>
          </w:p>
        </w:tc>
        <w:tc>
          <w:tcPr>
            <w:tcW w:w="1661" w:type="dxa"/>
            <w:tcBorders>
              <w:top w:val="nil"/>
              <w:left w:val="nil"/>
              <w:bottom w:val="nil"/>
              <w:right w:val="nil"/>
            </w:tcBorders>
            <w:vAlign w:val="center"/>
          </w:tcPr>
          <w:p w14:paraId="365A5CEA">
            <w:pPr>
              <w:spacing w:before="0" w:after="0"/>
              <w:jc w:val="center"/>
            </w:pPr>
            <w:r>
              <w:rPr>
                <w:rFonts w:ascii="宋体" w:hAnsi="宋体" w:eastAsia="宋体"/>
                <w:b w:val="0"/>
                <w:sz w:val="21"/>
              </w:rPr>
              <w:t>11</w:t>
            </w:r>
          </w:p>
        </w:tc>
        <w:tc>
          <w:tcPr>
            <w:tcW w:w="1661" w:type="dxa"/>
            <w:tcBorders>
              <w:top w:val="nil"/>
              <w:left w:val="nil"/>
              <w:bottom w:val="nil"/>
              <w:right w:val="nil"/>
            </w:tcBorders>
            <w:vAlign w:val="center"/>
          </w:tcPr>
          <w:p w14:paraId="0C103F37">
            <w:pPr>
              <w:spacing w:before="0" w:after="0"/>
              <w:jc w:val="center"/>
            </w:pPr>
            <w:r>
              <w:rPr>
                <w:rFonts w:ascii="宋体" w:hAnsi="宋体" w:eastAsia="宋体"/>
                <w:b w:val="0"/>
                <w:sz w:val="21"/>
              </w:rPr>
              <w:t>hidden_dim=64，epochs=40</w:t>
            </w:r>
          </w:p>
        </w:tc>
      </w:tr>
      <w:tr w14:paraId="7BD9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nil"/>
              <w:right w:val="nil"/>
            </w:tcBorders>
            <w:vAlign w:val="center"/>
          </w:tcPr>
          <w:p w14:paraId="0AAABB34">
            <w:pPr>
              <w:spacing w:before="0" w:after="0"/>
              <w:jc w:val="center"/>
            </w:pPr>
            <w:r>
              <w:rPr>
                <w:rFonts w:ascii="宋体" w:hAnsi="宋体" w:eastAsia="宋体"/>
                <w:b w:val="0"/>
                <w:sz w:val="21"/>
              </w:rPr>
              <w:t>ST-GNN 单步</w:t>
            </w:r>
          </w:p>
        </w:tc>
        <w:tc>
          <w:tcPr>
            <w:tcW w:w="1661" w:type="dxa"/>
            <w:tcBorders>
              <w:top w:val="nil"/>
              <w:left w:val="nil"/>
              <w:bottom w:val="nil"/>
              <w:right w:val="nil"/>
            </w:tcBorders>
            <w:vAlign w:val="center"/>
          </w:tcPr>
          <w:p w14:paraId="1631D6D6">
            <w:pPr>
              <w:spacing w:before="0" w:after="0"/>
              <w:jc w:val="center"/>
            </w:pPr>
            <w:r>
              <w:rPr>
                <w:rFonts w:ascii="宋体" w:hAnsi="宋体" w:eastAsia="宋体"/>
                <w:b w:val="0"/>
                <w:sz w:val="21"/>
              </w:rPr>
              <w:t>4</w:t>
            </w:r>
          </w:p>
        </w:tc>
        <w:tc>
          <w:tcPr>
            <w:tcW w:w="1661" w:type="dxa"/>
            <w:tcBorders>
              <w:top w:val="nil"/>
              <w:left w:val="nil"/>
              <w:bottom w:val="nil"/>
              <w:right w:val="nil"/>
            </w:tcBorders>
            <w:vAlign w:val="center"/>
          </w:tcPr>
          <w:p w14:paraId="75993BE8">
            <w:pPr>
              <w:spacing w:before="0" w:after="0"/>
              <w:jc w:val="center"/>
            </w:pPr>
            <w:r>
              <w:rPr>
                <w:rFonts w:ascii="宋体" w:hAnsi="宋体" w:eastAsia="宋体"/>
                <w:b w:val="0"/>
                <w:sz w:val="21"/>
              </w:rPr>
              <w:t>1</w:t>
            </w:r>
          </w:p>
        </w:tc>
        <w:tc>
          <w:tcPr>
            <w:tcW w:w="1661" w:type="dxa"/>
            <w:tcBorders>
              <w:top w:val="nil"/>
              <w:left w:val="nil"/>
              <w:bottom w:val="nil"/>
              <w:right w:val="nil"/>
            </w:tcBorders>
            <w:vAlign w:val="center"/>
          </w:tcPr>
          <w:p w14:paraId="69581EAF">
            <w:pPr>
              <w:spacing w:before="0" w:after="0"/>
              <w:jc w:val="center"/>
            </w:pPr>
            <w:r>
              <w:rPr>
                <w:rFonts w:ascii="宋体" w:hAnsi="宋体" w:eastAsia="宋体"/>
                <w:b w:val="0"/>
                <w:sz w:val="21"/>
              </w:rPr>
              <w:t>11</w:t>
            </w:r>
          </w:p>
        </w:tc>
        <w:tc>
          <w:tcPr>
            <w:tcW w:w="1661" w:type="dxa"/>
            <w:tcBorders>
              <w:top w:val="nil"/>
              <w:left w:val="nil"/>
              <w:bottom w:val="nil"/>
              <w:right w:val="nil"/>
            </w:tcBorders>
            <w:vAlign w:val="center"/>
          </w:tcPr>
          <w:p w14:paraId="368E1B98">
            <w:pPr>
              <w:spacing w:before="0" w:after="0"/>
              <w:jc w:val="center"/>
            </w:pPr>
            <w:r>
              <w:rPr>
                <w:rFonts w:ascii="宋体" w:hAnsi="宋体" w:eastAsia="宋体"/>
                <w:b w:val="0"/>
                <w:sz w:val="21"/>
              </w:rPr>
              <w:t>graph_hidden_dim=32，temporal_hidden_dim=64</w:t>
            </w:r>
          </w:p>
        </w:tc>
      </w:tr>
      <w:tr w14:paraId="5449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single" w:color="000000" w:sz="12" w:space="0"/>
              <w:right w:val="nil"/>
            </w:tcBorders>
            <w:vAlign w:val="center"/>
          </w:tcPr>
          <w:p w14:paraId="5A302D6B">
            <w:pPr>
              <w:spacing w:before="0" w:after="0"/>
              <w:jc w:val="center"/>
            </w:pPr>
            <w:r>
              <w:rPr>
                <w:rFonts w:ascii="宋体" w:hAnsi="宋体" w:eastAsia="宋体"/>
                <w:b w:val="0"/>
                <w:sz w:val="21"/>
              </w:rPr>
              <w:t>ST-GNN 多步</w:t>
            </w:r>
          </w:p>
        </w:tc>
        <w:tc>
          <w:tcPr>
            <w:tcW w:w="1661" w:type="dxa"/>
            <w:tcBorders>
              <w:top w:val="nil"/>
              <w:left w:val="nil"/>
              <w:bottom w:val="single" w:color="000000" w:sz="12" w:space="0"/>
              <w:right w:val="nil"/>
            </w:tcBorders>
            <w:vAlign w:val="center"/>
          </w:tcPr>
          <w:p w14:paraId="007E3BEC">
            <w:pPr>
              <w:spacing w:before="0" w:after="0"/>
              <w:jc w:val="center"/>
            </w:pPr>
            <w:r>
              <w:rPr>
                <w:rFonts w:ascii="宋体" w:hAnsi="宋体" w:eastAsia="宋体"/>
                <w:b w:val="0"/>
                <w:sz w:val="21"/>
              </w:rPr>
              <w:t>4</w:t>
            </w:r>
          </w:p>
        </w:tc>
        <w:tc>
          <w:tcPr>
            <w:tcW w:w="1661" w:type="dxa"/>
            <w:tcBorders>
              <w:top w:val="nil"/>
              <w:left w:val="nil"/>
              <w:bottom w:val="single" w:color="000000" w:sz="12" w:space="0"/>
              <w:right w:val="nil"/>
            </w:tcBorders>
            <w:vAlign w:val="center"/>
          </w:tcPr>
          <w:p w14:paraId="4D9EB4D2">
            <w:pPr>
              <w:spacing w:before="0" w:after="0"/>
              <w:jc w:val="center"/>
            </w:pPr>
            <w:r>
              <w:rPr>
                <w:rFonts w:ascii="宋体" w:hAnsi="宋体" w:eastAsia="宋体"/>
                <w:b w:val="0"/>
                <w:sz w:val="21"/>
              </w:rPr>
              <w:t>2</w:t>
            </w:r>
          </w:p>
        </w:tc>
        <w:tc>
          <w:tcPr>
            <w:tcW w:w="1661" w:type="dxa"/>
            <w:tcBorders>
              <w:top w:val="nil"/>
              <w:left w:val="nil"/>
              <w:bottom w:val="single" w:color="000000" w:sz="12" w:space="0"/>
              <w:right w:val="nil"/>
            </w:tcBorders>
            <w:vAlign w:val="center"/>
          </w:tcPr>
          <w:p w14:paraId="7F8F5C3A">
            <w:pPr>
              <w:spacing w:before="0" w:after="0"/>
              <w:jc w:val="center"/>
            </w:pPr>
            <w:r>
              <w:rPr>
                <w:rFonts w:ascii="宋体" w:hAnsi="宋体" w:eastAsia="宋体"/>
                <w:b w:val="0"/>
                <w:sz w:val="21"/>
              </w:rPr>
              <w:t>11</w:t>
            </w:r>
          </w:p>
        </w:tc>
        <w:tc>
          <w:tcPr>
            <w:tcW w:w="1661" w:type="dxa"/>
            <w:tcBorders>
              <w:top w:val="nil"/>
              <w:left w:val="nil"/>
              <w:bottom w:val="single" w:color="000000" w:sz="12" w:space="0"/>
              <w:right w:val="nil"/>
            </w:tcBorders>
            <w:vAlign w:val="center"/>
          </w:tcPr>
          <w:p w14:paraId="174EBA44">
            <w:pPr>
              <w:spacing w:before="0" w:after="0"/>
              <w:jc w:val="center"/>
            </w:pPr>
            <w:r>
              <w:rPr>
                <w:rFonts w:ascii="宋体" w:hAnsi="宋体" w:eastAsia="宋体"/>
                <w:b w:val="0"/>
                <w:sz w:val="21"/>
              </w:rPr>
              <w:t>hybrid_wind_knn 图结构，epochs=50</w:t>
            </w:r>
          </w:p>
        </w:tc>
      </w:tr>
    </w:tbl>
    <w:p w14:paraId="32F2A129">
      <w:pPr>
        <w:pStyle w:val="41"/>
      </w:pPr>
    </w:p>
    <w:p w14:paraId="3A936B87">
      <w:pPr>
        <w:pStyle w:val="2"/>
        <w:numPr>
          <w:ilvl w:val="0"/>
          <w:numId w:val="0"/>
        </w:numPr>
        <w:ind w:left="0" w:leftChars="0" w:firstLine="0" w:firstLineChars="0"/>
      </w:pPr>
      <w:bookmarkStart w:id="10" w:name="_Toc23196"/>
      <w:r>
        <w:rPr>
          <w:rFonts w:hint="eastAsia" w:ascii="Arial" w:hAnsi="Arial" w:eastAsia="黑体" w:cstheme="minorBidi"/>
          <w:bCs/>
          <w:kern w:val="44"/>
          <w:sz w:val="36"/>
          <w:szCs w:val="44"/>
          <w:lang w:val="zh-CN" w:eastAsia="zh-CN" w:bidi="ar-SA"/>
        </w:rPr>
        <w:t>第4章</w:t>
      </w:r>
      <w:r>
        <w:rPr>
          <w:rFonts w:hint="eastAsia" w:cstheme="minorBidi"/>
          <w:bCs/>
          <w:kern w:val="44"/>
          <w:sz w:val="36"/>
          <w:szCs w:val="44"/>
          <w:lang w:val="en-US" w:eastAsia="zh-CN" w:bidi="ar-SA"/>
        </w:rPr>
        <w:t xml:space="preserve"> </w:t>
      </w:r>
      <w:r>
        <w:t>系统实现</w:t>
      </w:r>
      <w:bookmarkEnd w:id="10"/>
    </w:p>
    <w:p w14:paraId="3A68E915">
      <w:pPr>
        <w:pStyle w:val="4"/>
        <w:numPr>
          <w:ilvl w:val="1"/>
          <w:numId w:val="0"/>
        </w:numPr>
        <w:ind w:left="0" w:leftChars="0" w:firstLine="0" w:firstLineChars="0"/>
      </w:pPr>
      <w:bookmarkStart w:id="11" w:name="_Toc15913"/>
      <w:r>
        <w:rPr>
          <w:rFonts w:hint="eastAsia" w:ascii="Arial" w:hAnsi="Arial" w:eastAsia="黑体" w:cstheme="majorBidi"/>
          <w:bCs/>
          <w:kern w:val="2"/>
          <w:sz w:val="30"/>
          <w:szCs w:val="32"/>
          <w:lang w:val="en-US" w:eastAsia="zh-CN" w:bidi="ar-SA"/>
        </w:rPr>
        <w:t>4.1</w:t>
      </w:r>
      <w:r>
        <w:t>多源季度数据重建与标准化</w:t>
      </w:r>
      <w:bookmarkEnd w:id="11"/>
    </w:p>
    <w:p w14:paraId="07830040">
      <w:pPr>
        <w:pStyle w:val="3"/>
        <w:jc w:val="both"/>
      </w:pPr>
      <w:r>
        <w:rPr>
          <w:sz w:val="24"/>
        </w:rPr>
        <w:t>在数据实现层，作品对“data_for_memberA”中的高精度季度 Sentinel-2 表进行了训练链路重建，并将其纳入正式处理流程。重建后的季度特征表覆盖 2020-Q1 至 2024-Q4，共 20 个时间点，形成 6180 条节点—季度记录，并保持 309 个节点在每个季度上的完整覆盖。为了保证训练输入质量，系统对时间格式、节点主键、数值字段和缺失情况进行了统一检查，避免了由于季度命名差异、模板列空缺和拼接链路不一致带来的训练噪声。相对于只保留少量地类比例的简化版本，这次重建后的正式表保留了 NDVI、林地比例、农田比例、水体比例、建成区比例和植被面积比例等核心遥感特征，为后续图建模提供了更稳定的输入基础。</w:t>
      </w:r>
    </w:p>
    <w:p w14:paraId="6C04751B">
      <w:pPr>
        <w:pStyle w:val="4"/>
        <w:numPr>
          <w:ilvl w:val="1"/>
          <w:numId w:val="0"/>
        </w:numPr>
        <w:ind w:left="0" w:leftChars="0" w:firstLine="0" w:firstLineChars="0"/>
      </w:pPr>
      <w:bookmarkStart w:id="12" w:name="_Toc5800"/>
      <w:r>
        <w:rPr>
          <w:rFonts w:hint="eastAsia" w:ascii="Arial" w:hAnsi="Arial" w:eastAsia="黑体" w:cstheme="majorBidi"/>
          <w:bCs/>
          <w:kern w:val="2"/>
          <w:sz w:val="30"/>
          <w:szCs w:val="32"/>
          <w:lang w:val="en-US" w:eastAsia="zh-CN" w:bidi="ar-SA"/>
        </w:rPr>
        <w:t>4.2</w:t>
      </w:r>
      <w:r>
        <w:t>推理服务与情景推演实现</w:t>
      </w:r>
      <w:bookmarkEnd w:id="12"/>
    </w:p>
    <w:p w14:paraId="38CF14FD">
      <w:pPr>
        <w:pStyle w:val="3"/>
        <w:jc w:val="both"/>
      </w:pPr>
      <w:r>
        <w:rPr>
          <w:sz w:val="24"/>
        </w:rPr>
        <w:t>后端服务负责把模型产物转化为可调用平台能力。系统通过固定目录读取 metrics.json、latest_prediction.json 和 best.pt 等正式产物，并在需要执行情景推演时调用推理脚本完成区域节点筛选、节点属性扰动和结果回写。当前正式情景文件显示，在 2025-Q1 预测时点上，系统能够对用户框选的 2 个节点执行扰动，并生成完整的 baseline、scenario 与 delta 结果；其中绝对差值大于 1e-4 的节点共有 42 个，最大绝对差值为 0.002826。这一机制说明作品并不是简单展示离线指标，而是已经具备围绕空间交互执行动态推演的能力。</w:t>
      </w:r>
    </w:p>
    <w:p w14:paraId="61FCB76C">
      <w:pPr>
        <w:pStyle w:val="4"/>
        <w:numPr>
          <w:ilvl w:val="1"/>
          <w:numId w:val="0"/>
        </w:numPr>
        <w:ind w:left="0" w:leftChars="0" w:firstLine="0" w:firstLineChars="0"/>
      </w:pPr>
      <w:bookmarkStart w:id="13" w:name="_Toc15784"/>
      <w:r>
        <w:rPr>
          <w:rFonts w:hint="eastAsia" w:ascii="Arial" w:hAnsi="Arial" w:eastAsia="黑体" w:cstheme="majorBidi"/>
          <w:bCs/>
          <w:kern w:val="2"/>
          <w:sz w:val="30"/>
          <w:szCs w:val="32"/>
          <w:lang w:val="en-US" w:eastAsia="zh-CN" w:bidi="ar-SA"/>
        </w:rPr>
        <w:t>4.3</w:t>
      </w:r>
      <w:r>
        <w:t>前端交互与交付形态</w:t>
      </w:r>
      <w:bookmarkEnd w:id="13"/>
    </w:p>
    <w:p w14:paraId="313BEF9E">
      <w:pPr>
        <w:pStyle w:val="3"/>
        <w:jc w:val="both"/>
      </w:pPr>
      <w:r>
        <w:rPr>
          <w:sz w:val="24"/>
        </w:rPr>
        <w:t>前端平台采用 Vue 3 + Cesium 组织交互界面，以南京研究区为主视图，整合了研究区域标识、当前季度、碳汇强度图层、统计面板和情景推演入口。围绕前端实际使用过程，作品重点修复了二次新建情景后无法重新框选区域、Cesium 生产构建渲染异常、启动脚本与浏览器自动跳转不一致等工程问题，并通过 Docker 化将前后端、反向代理和交付目录打包为统一发布方案。这样一来，评审或使用方不需要再次搭建 Python、Node.js 与本地训练环境，只需执行容器命令即可启动完整平台。图 3 展示了平台在地图底图与碳汇强度层清晰加载后的正式界面。</w:t>
      </w:r>
    </w:p>
    <w:p w14:paraId="22017EA7">
      <w:pPr>
        <w:pStyle w:val="41"/>
        <w:jc w:val="center"/>
      </w:pPr>
    </w:p>
    <w:p w14:paraId="5D345C64">
      <w:pPr>
        <w:pStyle w:val="41"/>
        <w:jc w:val="center"/>
      </w:pPr>
      <w:r>
        <w:drawing>
          <wp:inline distT="0" distB="0" distL="114300" distR="114300">
            <wp:extent cx="520446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r="10758"/>
                    <a:stretch>
                      <a:fillRect/>
                    </a:stretch>
                  </pic:blipFill>
                  <pic:spPr>
                    <a:xfrm>
                      <a:off x="0" y="0"/>
                      <a:ext cx="5204460" cy="3189375"/>
                    </a:xfrm>
                    <a:prstGeom prst="rect">
                      <a:avLst/>
                    </a:prstGeom>
                  </pic:spPr>
                </pic:pic>
              </a:graphicData>
            </a:graphic>
          </wp:inline>
        </w:drawing>
      </w:r>
    </w:p>
    <w:p w14:paraId="499EAA74">
      <w:pPr>
        <w:pStyle w:val="12"/>
        <w:jc w:val="center"/>
      </w:pPr>
      <w:r>
        <w:t xml:space="preserve">图 </w:t>
      </w:r>
      <w:r>
        <w:rPr>
          <w:rFonts w:hint="eastAsia"/>
          <w:lang w:val="en-US" w:eastAsia="zh-CN"/>
        </w:rPr>
        <w:t>3</w:t>
      </w:r>
      <w:r>
        <w:t xml:space="preserve">  平台主界面与研究区碳汇强度展示</w:t>
      </w:r>
    </w:p>
    <w:p w14:paraId="5A086D54">
      <w:pPr>
        <w:pStyle w:val="2"/>
        <w:numPr>
          <w:ilvl w:val="0"/>
          <w:numId w:val="0"/>
        </w:numPr>
        <w:ind w:left="0" w:leftChars="0" w:firstLine="0" w:firstLineChars="0"/>
      </w:pPr>
      <w:bookmarkStart w:id="14" w:name="_Toc18780"/>
      <w:r>
        <w:rPr>
          <w:rFonts w:hint="eastAsia" w:ascii="Arial" w:hAnsi="Arial" w:eastAsia="黑体" w:cstheme="minorBidi"/>
          <w:bCs/>
          <w:kern w:val="44"/>
          <w:sz w:val="36"/>
          <w:szCs w:val="44"/>
          <w:lang w:val="zh-CN" w:eastAsia="zh-CN" w:bidi="ar-SA"/>
        </w:rPr>
        <w:t>第5章</w:t>
      </w:r>
      <w:r>
        <w:rPr>
          <w:rFonts w:hint="eastAsia" w:cstheme="minorBidi"/>
          <w:bCs/>
          <w:kern w:val="44"/>
          <w:sz w:val="36"/>
          <w:szCs w:val="44"/>
          <w:lang w:val="en-US" w:eastAsia="zh-CN" w:bidi="ar-SA"/>
        </w:rPr>
        <w:t xml:space="preserve"> </w:t>
      </w:r>
      <w:r>
        <w:t>智能体使用情况</w:t>
      </w:r>
      <w:bookmarkEnd w:id="14"/>
    </w:p>
    <w:p w14:paraId="584AB894">
      <w:pPr>
        <w:pStyle w:val="3"/>
        <w:jc w:val="both"/>
      </w:pPr>
      <w:r>
        <w:rPr>
          <w:sz w:val="24"/>
        </w:rPr>
        <w:t>作品开发过程中引入了以 Codex 为代表的智能体协作方式，但始终坚持“人工主导决策、智能体辅助执行”的原则。智能体主要承担</w:t>
      </w:r>
      <w:r>
        <w:rPr>
          <w:rFonts w:hint="eastAsia"/>
          <w:sz w:val="24"/>
          <w:lang w:val="en-US" w:eastAsia="zh-CN"/>
        </w:rPr>
        <w:t>两</w:t>
      </w:r>
      <w:r>
        <w:rPr>
          <w:sz w:val="24"/>
        </w:rPr>
        <w:t>类任务：一是代码与配置检视，例如定位前端地图显示异常、情景推演二次框选失效、Docker 生产构建兼容性等问题，并在不破坏平台接口的前提下给出修复方案；二是实验自动化支持，例如补齐 multi-seed 与 adjacency sweep 脚本，对比正式模型与候选模型的指标表现</w:t>
      </w:r>
      <w:r>
        <w:rPr>
          <w:rFonts w:hint="eastAsia"/>
          <w:sz w:val="24"/>
          <w:lang w:eastAsia="zh-CN"/>
        </w:rPr>
        <w:t>。</w:t>
      </w:r>
      <w:r>
        <w:rPr>
          <w:sz w:val="24"/>
        </w:rPr>
        <w:t>所有关键修改均经过本地构建、接口回归和页面检查后才被保留，因此智能体在本作品中的角色更接近“工程增效器”，而不是脱离项目事实的自动生成工具。</w:t>
      </w:r>
    </w:p>
    <w:p w14:paraId="24BEAFCE">
      <w:pPr>
        <w:pStyle w:val="3"/>
        <w:jc w:val="both"/>
      </w:pPr>
      <w:r>
        <w:rPr>
          <w:sz w:val="24"/>
        </w:rPr>
        <w:t>从使用效果看，智能体最大的价值不在于替代建模判断，而在于缩短工程闭环的调试时间。尤其在前后端联调、文档与部署材料整理、实验结果复核等高重复度工作中，智能体能够快速完成搜索、比对和脚本化实现，使团队把更多精力放在问题抽象、指标判断和结果解释上。这种协同方式与作品本身强调的“数据—模型—服务”闭环是一致的，也为后续作品维护提供了更高的可追溯性。</w:t>
      </w:r>
    </w:p>
    <w:p w14:paraId="72AA527B">
      <w:pPr>
        <w:pStyle w:val="2"/>
        <w:numPr>
          <w:ilvl w:val="0"/>
          <w:numId w:val="0"/>
        </w:numPr>
        <w:ind w:left="0" w:leftChars="0" w:firstLine="0" w:firstLineChars="0"/>
      </w:pPr>
      <w:bookmarkStart w:id="15" w:name="_Toc11670"/>
      <w:r>
        <w:rPr>
          <w:rFonts w:hint="eastAsia" w:ascii="Arial" w:hAnsi="Arial" w:eastAsia="黑体" w:cstheme="minorBidi"/>
          <w:bCs/>
          <w:kern w:val="44"/>
          <w:sz w:val="36"/>
          <w:szCs w:val="44"/>
          <w:lang w:val="zh-CN" w:eastAsia="zh-CN" w:bidi="ar-SA"/>
        </w:rPr>
        <w:t>第6章</w:t>
      </w:r>
      <w:r>
        <w:rPr>
          <w:rFonts w:hint="eastAsia" w:cstheme="minorBidi"/>
          <w:bCs/>
          <w:kern w:val="44"/>
          <w:sz w:val="36"/>
          <w:szCs w:val="44"/>
          <w:lang w:val="en-US" w:eastAsia="zh-CN" w:bidi="ar-SA"/>
        </w:rPr>
        <w:t xml:space="preserve"> </w:t>
      </w:r>
      <w:r>
        <w:t>测试分析</w:t>
      </w:r>
      <w:bookmarkEnd w:id="15"/>
    </w:p>
    <w:p w14:paraId="11AB0F12">
      <w:pPr>
        <w:pStyle w:val="4"/>
        <w:numPr>
          <w:ilvl w:val="1"/>
          <w:numId w:val="0"/>
        </w:numPr>
        <w:ind w:left="0" w:leftChars="0" w:firstLine="0" w:firstLineChars="0"/>
      </w:pPr>
      <w:bookmarkStart w:id="16" w:name="_Toc3736"/>
      <w:r>
        <w:rPr>
          <w:rFonts w:hint="eastAsia" w:ascii="Arial" w:hAnsi="Arial" w:eastAsia="黑体" w:cstheme="majorBidi"/>
          <w:bCs/>
          <w:kern w:val="2"/>
          <w:sz w:val="30"/>
          <w:szCs w:val="32"/>
          <w:lang w:val="en-US" w:eastAsia="zh-CN" w:bidi="ar-SA"/>
        </w:rPr>
        <w:t>6.1</w:t>
      </w:r>
      <w:r>
        <w:t>平台联调与数据完整性验证</w:t>
      </w:r>
      <w:bookmarkEnd w:id="16"/>
    </w:p>
    <w:p w14:paraId="0AD6BED3">
      <w:pPr>
        <w:pStyle w:val="3"/>
        <w:jc w:val="both"/>
      </w:pPr>
      <w:r>
        <w:rPr>
          <w:sz w:val="24"/>
        </w:rPr>
        <w:t>作品测试不仅关注模型误差，还重点关注平台能否稳定调用正式产物。联调结果表明：后端健康检查、前端首页访问、仪表板读取、预测结果加载和情景推演执行均已通过；平台读取的研究区节点数量为 309，正式接入模型数量为 3，情景推演状态可返回 completed，说明平台链路已经从“可训练”进一步发展为“可部署、可调用、可展示”。在数据层面，正式季度 Sentinel-2 表、ERA5 表与 EDGAR 表均保持 6180 条记录规模，与 309 节点 × 20 季度的理论规模一致，训练输入没有出现链路断裂。</w:t>
      </w:r>
    </w:p>
    <w:p w14:paraId="2E0C1776">
      <w:pPr>
        <w:pStyle w:val="12"/>
        <w:jc w:val="center"/>
      </w:pPr>
      <w:r>
        <w:t xml:space="preserve">表 </w:t>
      </w:r>
      <w:r>
        <w:rPr>
          <w:rFonts w:hint="eastAsia"/>
          <w:lang w:val="en-US" w:eastAsia="zh-CN"/>
        </w:rPr>
        <w:t>4</w:t>
      </w:r>
      <w:r>
        <w:t xml:space="preserve">  平台联调与情景推演验证结果</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67C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single" w:color="000000" w:sz="12" w:space="0"/>
              <w:left w:val="nil"/>
              <w:bottom w:val="single" w:color="000000" w:sz="12" w:space="0"/>
              <w:right w:val="nil"/>
            </w:tcBorders>
            <w:vAlign w:val="center"/>
          </w:tcPr>
          <w:p w14:paraId="43CD3FB9">
            <w:pPr>
              <w:spacing w:before="0" w:after="0"/>
              <w:jc w:val="center"/>
            </w:pPr>
            <w:r>
              <w:rPr>
                <w:rFonts w:ascii="宋体" w:hAnsi="宋体" w:eastAsia="宋体"/>
                <w:b/>
                <w:sz w:val="21"/>
              </w:rPr>
              <w:t>验证项</w:t>
            </w:r>
          </w:p>
        </w:tc>
        <w:tc>
          <w:tcPr>
            <w:tcW w:w="4153" w:type="dxa"/>
            <w:tcBorders>
              <w:top w:val="single" w:color="000000" w:sz="12" w:space="0"/>
              <w:left w:val="nil"/>
              <w:bottom w:val="single" w:color="000000" w:sz="12" w:space="0"/>
              <w:right w:val="nil"/>
            </w:tcBorders>
            <w:vAlign w:val="center"/>
          </w:tcPr>
          <w:p w14:paraId="2EDA0BB1">
            <w:pPr>
              <w:spacing w:before="0" w:after="0"/>
              <w:jc w:val="center"/>
            </w:pPr>
            <w:r>
              <w:rPr>
                <w:rFonts w:ascii="宋体" w:hAnsi="宋体" w:eastAsia="宋体"/>
                <w:b/>
                <w:sz w:val="21"/>
              </w:rPr>
              <w:t>结果</w:t>
            </w:r>
          </w:p>
        </w:tc>
      </w:tr>
      <w:tr w14:paraId="13F8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tcBorders>
            <w:vAlign w:val="center"/>
          </w:tcPr>
          <w:p w14:paraId="26B2FF49">
            <w:pPr>
              <w:spacing w:before="0" w:after="0"/>
              <w:jc w:val="center"/>
            </w:pPr>
            <w:r>
              <w:rPr>
                <w:rFonts w:ascii="宋体" w:hAnsi="宋体" w:eastAsia="宋体"/>
                <w:b w:val="0"/>
                <w:sz w:val="21"/>
              </w:rPr>
              <w:t>后端健康检查</w:t>
            </w:r>
          </w:p>
        </w:tc>
        <w:tc>
          <w:tcPr>
            <w:tcW w:w="4153" w:type="dxa"/>
            <w:tcBorders>
              <w:top w:val="nil"/>
              <w:left w:val="nil"/>
              <w:bottom w:val="nil"/>
              <w:right w:val="nil"/>
            </w:tcBorders>
            <w:vAlign w:val="center"/>
          </w:tcPr>
          <w:p w14:paraId="2E3538EE">
            <w:pPr>
              <w:spacing w:before="0" w:after="0"/>
              <w:jc w:val="left"/>
            </w:pPr>
            <w:r>
              <w:rPr>
                <w:rFonts w:ascii="宋体" w:hAnsi="宋体" w:eastAsia="宋体"/>
                <w:b w:val="0"/>
                <w:sz w:val="21"/>
              </w:rPr>
              <w:t>通过（/api/v1/health 返回 200）</w:t>
            </w:r>
          </w:p>
        </w:tc>
      </w:tr>
      <w:tr w14:paraId="7204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tcBorders>
            <w:vAlign w:val="center"/>
          </w:tcPr>
          <w:p w14:paraId="6D7F5A0F">
            <w:pPr>
              <w:spacing w:before="0" w:after="0"/>
              <w:jc w:val="center"/>
            </w:pPr>
            <w:r>
              <w:rPr>
                <w:rFonts w:ascii="宋体" w:hAnsi="宋体" w:eastAsia="宋体"/>
                <w:b w:val="0"/>
                <w:sz w:val="21"/>
              </w:rPr>
              <w:t>前端首页访问</w:t>
            </w:r>
          </w:p>
        </w:tc>
        <w:tc>
          <w:tcPr>
            <w:tcW w:w="4153" w:type="dxa"/>
            <w:tcBorders>
              <w:top w:val="nil"/>
              <w:left w:val="nil"/>
              <w:bottom w:val="nil"/>
              <w:right w:val="nil"/>
            </w:tcBorders>
            <w:vAlign w:val="center"/>
          </w:tcPr>
          <w:p w14:paraId="68B1760C">
            <w:pPr>
              <w:spacing w:before="0" w:after="0"/>
              <w:jc w:val="left"/>
            </w:pPr>
            <w:r>
              <w:rPr>
                <w:rFonts w:ascii="宋体" w:hAnsi="宋体" w:eastAsia="宋体"/>
                <w:b w:val="0"/>
                <w:sz w:val="21"/>
              </w:rPr>
              <w:t>通过（平台主页返回 200）</w:t>
            </w:r>
          </w:p>
        </w:tc>
      </w:tr>
      <w:tr w14:paraId="732F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tcBorders>
            <w:vAlign w:val="center"/>
          </w:tcPr>
          <w:p w14:paraId="7BA5C377">
            <w:pPr>
              <w:spacing w:before="0" w:after="0"/>
              <w:jc w:val="center"/>
            </w:pPr>
            <w:r>
              <w:rPr>
                <w:rFonts w:ascii="宋体" w:hAnsi="宋体" w:eastAsia="宋体"/>
                <w:b w:val="0"/>
                <w:sz w:val="21"/>
              </w:rPr>
              <w:t>平台接入模型数量</w:t>
            </w:r>
          </w:p>
        </w:tc>
        <w:tc>
          <w:tcPr>
            <w:tcW w:w="4153" w:type="dxa"/>
            <w:tcBorders>
              <w:top w:val="nil"/>
              <w:left w:val="nil"/>
              <w:bottom w:val="nil"/>
              <w:right w:val="nil"/>
            </w:tcBorders>
            <w:vAlign w:val="center"/>
          </w:tcPr>
          <w:p w14:paraId="00B1C67C">
            <w:pPr>
              <w:spacing w:before="0" w:after="0"/>
              <w:jc w:val="left"/>
            </w:pPr>
            <w:r>
              <w:rPr>
                <w:rFonts w:ascii="宋体" w:hAnsi="宋体" w:eastAsia="宋体"/>
                <w:b w:val="0"/>
                <w:sz w:val="21"/>
              </w:rPr>
              <w:t>3 个正式模型产物</w:t>
            </w:r>
          </w:p>
        </w:tc>
      </w:tr>
      <w:tr w14:paraId="7A7D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tcBorders>
            <w:vAlign w:val="center"/>
          </w:tcPr>
          <w:p w14:paraId="78DFB9C3">
            <w:pPr>
              <w:spacing w:before="0" w:after="0"/>
              <w:jc w:val="center"/>
            </w:pPr>
            <w:r>
              <w:rPr>
                <w:rFonts w:ascii="宋体" w:hAnsi="宋体" w:eastAsia="宋体"/>
                <w:b w:val="0"/>
                <w:sz w:val="21"/>
              </w:rPr>
              <w:t>预测结果覆盖规模</w:t>
            </w:r>
          </w:p>
        </w:tc>
        <w:tc>
          <w:tcPr>
            <w:tcW w:w="4153" w:type="dxa"/>
            <w:tcBorders>
              <w:top w:val="nil"/>
              <w:left w:val="nil"/>
              <w:bottom w:val="nil"/>
              <w:right w:val="nil"/>
            </w:tcBorders>
            <w:vAlign w:val="center"/>
          </w:tcPr>
          <w:p w14:paraId="54F23C16">
            <w:pPr>
              <w:spacing w:before="0" w:after="0"/>
              <w:jc w:val="left"/>
            </w:pPr>
            <w:r>
              <w:rPr>
                <w:rFonts w:ascii="宋体" w:hAnsi="宋体" w:eastAsia="宋体"/>
                <w:b w:val="0"/>
                <w:sz w:val="21"/>
              </w:rPr>
              <w:t>309 个节点</w:t>
            </w:r>
          </w:p>
        </w:tc>
      </w:tr>
      <w:tr w14:paraId="2F49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tcBorders>
            <w:vAlign w:val="center"/>
          </w:tcPr>
          <w:p w14:paraId="765A287F">
            <w:pPr>
              <w:spacing w:before="0" w:after="0"/>
              <w:jc w:val="center"/>
            </w:pPr>
            <w:r>
              <w:rPr>
                <w:rFonts w:ascii="宋体" w:hAnsi="宋体" w:eastAsia="宋体"/>
                <w:b w:val="0"/>
                <w:sz w:val="21"/>
              </w:rPr>
              <w:t>情景推演执行状态</w:t>
            </w:r>
          </w:p>
        </w:tc>
        <w:tc>
          <w:tcPr>
            <w:tcW w:w="4153" w:type="dxa"/>
            <w:tcBorders>
              <w:top w:val="nil"/>
              <w:left w:val="nil"/>
              <w:bottom w:val="nil"/>
              <w:right w:val="nil"/>
            </w:tcBorders>
            <w:vAlign w:val="center"/>
          </w:tcPr>
          <w:p w14:paraId="30E9B7B7">
            <w:pPr>
              <w:spacing w:before="0" w:after="0"/>
              <w:jc w:val="left"/>
            </w:pPr>
            <w:r>
              <w:rPr>
                <w:rFonts w:ascii="宋体" w:hAnsi="宋体" w:eastAsia="宋体"/>
                <w:b w:val="0"/>
                <w:sz w:val="21"/>
              </w:rPr>
              <w:t>completed</w:t>
            </w:r>
          </w:p>
        </w:tc>
      </w:tr>
      <w:tr w14:paraId="79A1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single" w:color="000000" w:sz="12" w:space="0"/>
              <w:right w:val="nil"/>
            </w:tcBorders>
            <w:vAlign w:val="center"/>
          </w:tcPr>
          <w:p w14:paraId="3524654B">
            <w:pPr>
              <w:spacing w:before="0" w:after="0"/>
              <w:jc w:val="center"/>
            </w:pPr>
            <w:r>
              <w:rPr>
                <w:rFonts w:ascii="宋体" w:hAnsi="宋体" w:eastAsia="宋体"/>
                <w:b w:val="0"/>
                <w:sz w:val="21"/>
              </w:rPr>
              <w:t>情景推演影响统计</w:t>
            </w:r>
          </w:p>
        </w:tc>
        <w:tc>
          <w:tcPr>
            <w:tcW w:w="4153" w:type="dxa"/>
            <w:tcBorders>
              <w:top w:val="nil"/>
              <w:left w:val="nil"/>
              <w:bottom w:val="single" w:color="000000" w:sz="12" w:space="0"/>
              <w:right w:val="nil"/>
            </w:tcBorders>
            <w:vAlign w:val="center"/>
          </w:tcPr>
          <w:p w14:paraId="3D1DBFBE">
            <w:pPr>
              <w:spacing w:before="0" w:after="0"/>
              <w:jc w:val="left"/>
            </w:pPr>
            <w:r>
              <w:rPr>
                <w:rFonts w:ascii="宋体" w:hAnsi="宋体" w:eastAsia="宋体"/>
                <w:b w:val="0"/>
                <w:sz w:val="21"/>
              </w:rPr>
              <w:t>|Δ|&gt;1e-4 节点 42 个，最大绝对差值 0.002826</w:t>
            </w:r>
          </w:p>
        </w:tc>
      </w:tr>
    </w:tbl>
    <w:p w14:paraId="4C3451BC">
      <w:pPr>
        <w:pStyle w:val="41"/>
      </w:pPr>
    </w:p>
    <w:p w14:paraId="696B45DD">
      <w:pPr>
        <w:pStyle w:val="4"/>
        <w:numPr>
          <w:ilvl w:val="1"/>
          <w:numId w:val="0"/>
        </w:numPr>
        <w:ind w:left="0" w:leftChars="0" w:firstLine="0" w:firstLineChars="0"/>
      </w:pPr>
      <w:bookmarkStart w:id="17" w:name="_Toc6002"/>
      <w:r>
        <w:rPr>
          <w:rFonts w:hint="eastAsia" w:ascii="Arial" w:hAnsi="Arial" w:eastAsia="黑体" w:cstheme="majorBidi"/>
          <w:bCs/>
          <w:kern w:val="2"/>
          <w:sz w:val="30"/>
          <w:szCs w:val="32"/>
          <w:lang w:val="en-US" w:eastAsia="zh-CN" w:bidi="ar-SA"/>
        </w:rPr>
        <w:t>6.2</w:t>
      </w:r>
      <w:r>
        <w:t>模型效果对比</w:t>
      </w:r>
      <w:bookmarkEnd w:id="17"/>
    </w:p>
    <w:p w14:paraId="193829CA">
      <w:pPr>
        <w:pStyle w:val="3"/>
        <w:jc w:val="both"/>
      </w:pPr>
      <w:r>
        <w:rPr>
          <w:sz w:val="24"/>
        </w:rPr>
        <w:t>正式模型测试结果如图 4 和表 4 所示。与 LSTM 多步基线相比，单步 ST-GNN 和多步 ST-GNN 都表现出更优的误差水平，其中多步 ST-GNN 在 MAE 和 RMSE 两项指标上均取得当前正式最优结果。这说明在当前样本规模下，引入图结构对空间依赖进行编码是有效的；同时，多步预测方案相较于单步方案更适合承接平台面向未来季度滚动预测的任务。</w:t>
      </w:r>
    </w:p>
    <w:p w14:paraId="5F132883">
      <w:pPr>
        <w:pStyle w:val="41"/>
        <w:jc w:val="center"/>
      </w:pPr>
      <w:r>
        <w:drawing>
          <wp:inline distT="0" distB="0" distL="114300" distR="114300">
            <wp:extent cx="5759450" cy="2486660"/>
            <wp:effectExtent l="0" t="0" r="1270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60000" cy="2487273"/>
                    </a:xfrm>
                    <a:prstGeom prst="rect">
                      <a:avLst/>
                    </a:prstGeom>
                  </pic:spPr>
                </pic:pic>
              </a:graphicData>
            </a:graphic>
          </wp:inline>
        </w:drawing>
      </w:r>
    </w:p>
    <w:p w14:paraId="7030C98C">
      <w:pPr>
        <w:pStyle w:val="12"/>
        <w:jc w:val="center"/>
      </w:pPr>
      <w:r>
        <w:t xml:space="preserve">图 </w:t>
      </w:r>
      <w:r>
        <w:rPr>
          <w:rFonts w:hint="eastAsia"/>
          <w:lang w:val="en-US" w:eastAsia="zh-CN"/>
        </w:rPr>
        <w:t>4</w:t>
      </w:r>
      <w:r>
        <w:t xml:space="preserve">  正式模型测试集误差对比</w:t>
      </w:r>
    </w:p>
    <w:p w14:paraId="10A8A2FB">
      <w:pPr>
        <w:pStyle w:val="12"/>
        <w:jc w:val="center"/>
      </w:pPr>
      <w:r>
        <w:t xml:space="preserve">表 </w:t>
      </w:r>
      <w:r>
        <w:rPr>
          <w:rFonts w:hint="eastAsia"/>
          <w:lang w:val="en-US" w:eastAsia="zh-CN"/>
        </w:rPr>
        <w:t>5</w:t>
      </w:r>
      <w:r>
        <w:t xml:space="preserve">  正式模型测试指标对比</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598D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6" w:type="dxa"/>
            <w:tcBorders>
              <w:top w:val="single" w:color="000000" w:sz="12" w:space="0"/>
              <w:left w:val="nil"/>
              <w:bottom w:val="single" w:color="000000" w:sz="12" w:space="0"/>
              <w:right w:val="nil"/>
            </w:tcBorders>
            <w:vAlign w:val="center"/>
          </w:tcPr>
          <w:p w14:paraId="7223657A">
            <w:pPr>
              <w:spacing w:before="0" w:after="0"/>
              <w:jc w:val="center"/>
            </w:pPr>
            <w:r>
              <w:rPr>
                <w:rFonts w:ascii="宋体" w:hAnsi="宋体" w:eastAsia="宋体"/>
                <w:b/>
                <w:sz w:val="21"/>
              </w:rPr>
              <w:t>模型</w:t>
            </w:r>
          </w:p>
        </w:tc>
        <w:tc>
          <w:tcPr>
            <w:tcW w:w="2076" w:type="dxa"/>
            <w:tcBorders>
              <w:top w:val="single" w:color="000000" w:sz="12" w:space="0"/>
              <w:left w:val="nil"/>
              <w:bottom w:val="single" w:color="000000" w:sz="12" w:space="0"/>
              <w:right w:val="nil"/>
            </w:tcBorders>
            <w:vAlign w:val="center"/>
          </w:tcPr>
          <w:p w14:paraId="524AD035">
            <w:pPr>
              <w:spacing w:before="0" w:after="0"/>
              <w:jc w:val="center"/>
            </w:pPr>
            <w:r>
              <w:rPr>
                <w:rFonts w:ascii="宋体" w:hAnsi="宋体" w:eastAsia="宋体"/>
                <w:b/>
                <w:sz w:val="21"/>
              </w:rPr>
              <w:t>MAE</w:t>
            </w:r>
          </w:p>
        </w:tc>
        <w:tc>
          <w:tcPr>
            <w:tcW w:w="2076" w:type="dxa"/>
            <w:tcBorders>
              <w:top w:val="single" w:color="000000" w:sz="12" w:space="0"/>
              <w:left w:val="nil"/>
              <w:bottom w:val="single" w:color="000000" w:sz="12" w:space="0"/>
              <w:right w:val="nil"/>
            </w:tcBorders>
            <w:vAlign w:val="center"/>
          </w:tcPr>
          <w:p w14:paraId="31E53194">
            <w:pPr>
              <w:spacing w:before="0" w:after="0"/>
              <w:jc w:val="center"/>
            </w:pPr>
            <w:r>
              <w:rPr>
                <w:rFonts w:ascii="宋体" w:hAnsi="宋体" w:eastAsia="宋体"/>
                <w:b/>
                <w:sz w:val="21"/>
              </w:rPr>
              <w:t>RMSE</w:t>
            </w:r>
          </w:p>
        </w:tc>
        <w:tc>
          <w:tcPr>
            <w:tcW w:w="2076" w:type="dxa"/>
            <w:tcBorders>
              <w:top w:val="single" w:color="000000" w:sz="12" w:space="0"/>
              <w:left w:val="nil"/>
              <w:bottom w:val="single" w:color="000000" w:sz="12" w:space="0"/>
              <w:right w:val="nil"/>
            </w:tcBorders>
            <w:vAlign w:val="center"/>
          </w:tcPr>
          <w:p w14:paraId="2DF18BD0">
            <w:pPr>
              <w:spacing w:before="0" w:after="0"/>
              <w:jc w:val="center"/>
            </w:pPr>
            <w:r>
              <w:rPr>
                <w:rFonts w:ascii="宋体" w:hAnsi="宋体" w:eastAsia="宋体"/>
                <w:b/>
                <w:sz w:val="21"/>
              </w:rPr>
              <w:t>结论</w:t>
            </w:r>
          </w:p>
        </w:tc>
      </w:tr>
      <w:tr w14:paraId="06A1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5559CF27">
            <w:pPr>
              <w:spacing w:before="0" w:after="0"/>
              <w:jc w:val="center"/>
            </w:pPr>
            <w:r>
              <w:rPr>
                <w:rFonts w:ascii="宋体" w:hAnsi="宋体" w:eastAsia="宋体"/>
                <w:b w:val="0"/>
                <w:sz w:val="21"/>
              </w:rPr>
              <w:t>LSTM 多步基线</w:t>
            </w:r>
          </w:p>
        </w:tc>
        <w:tc>
          <w:tcPr>
            <w:tcW w:w="2076" w:type="dxa"/>
            <w:tcBorders>
              <w:top w:val="nil"/>
              <w:left w:val="nil"/>
              <w:bottom w:val="nil"/>
              <w:right w:val="nil"/>
            </w:tcBorders>
            <w:vAlign w:val="center"/>
          </w:tcPr>
          <w:p w14:paraId="3DE17C08">
            <w:pPr>
              <w:spacing w:before="0" w:after="0"/>
              <w:jc w:val="center"/>
            </w:pPr>
            <w:r>
              <w:rPr>
                <w:rFonts w:ascii="宋体" w:hAnsi="宋体" w:eastAsia="宋体"/>
                <w:b w:val="0"/>
                <w:sz w:val="21"/>
              </w:rPr>
              <w:t>0.051537</w:t>
            </w:r>
          </w:p>
        </w:tc>
        <w:tc>
          <w:tcPr>
            <w:tcW w:w="2076" w:type="dxa"/>
            <w:tcBorders>
              <w:top w:val="nil"/>
              <w:left w:val="nil"/>
              <w:bottom w:val="nil"/>
              <w:right w:val="nil"/>
            </w:tcBorders>
            <w:vAlign w:val="center"/>
          </w:tcPr>
          <w:p w14:paraId="7C956588">
            <w:pPr>
              <w:spacing w:before="0" w:after="0"/>
              <w:jc w:val="center"/>
            </w:pPr>
            <w:r>
              <w:rPr>
                <w:rFonts w:ascii="宋体" w:hAnsi="宋体" w:eastAsia="宋体"/>
                <w:b w:val="0"/>
                <w:sz w:val="21"/>
              </w:rPr>
              <w:t>0.066920</w:t>
            </w:r>
          </w:p>
        </w:tc>
        <w:tc>
          <w:tcPr>
            <w:tcW w:w="2076" w:type="dxa"/>
            <w:tcBorders>
              <w:top w:val="nil"/>
              <w:left w:val="nil"/>
              <w:bottom w:val="nil"/>
              <w:right w:val="nil"/>
            </w:tcBorders>
            <w:vAlign w:val="center"/>
          </w:tcPr>
          <w:p w14:paraId="2C66C4C3">
            <w:pPr>
              <w:spacing w:before="0" w:after="0"/>
              <w:jc w:val="left"/>
            </w:pPr>
            <w:r>
              <w:rPr>
                <w:rFonts w:ascii="宋体" w:hAnsi="宋体" w:eastAsia="宋体"/>
                <w:b w:val="0"/>
                <w:sz w:val="21"/>
              </w:rPr>
              <w:t>作为无图结构对照组</w:t>
            </w:r>
          </w:p>
        </w:tc>
      </w:tr>
      <w:tr w14:paraId="3CA1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571E9442">
            <w:pPr>
              <w:spacing w:before="0" w:after="0"/>
              <w:jc w:val="center"/>
            </w:pPr>
            <w:r>
              <w:rPr>
                <w:rFonts w:ascii="宋体" w:hAnsi="宋体" w:eastAsia="宋体"/>
                <w:b w:val="0"/>
                <w:sz w:val="21"/>
              </w:rPr>
              <w:t>ST-GNN 单步</w:t>
            </w:r>
          </w:p>
        </w:tc>
        <w:tc>
          <w:tcPr>
            <w:tcW w:w="2076" w:type="dxa"/>
            <w:tcBorders>
              <w:top w:val="nil"/>
              <w:left w:val="nil"/>
              <w:bottom w:val="nil"/>
              <w:right w:val="nil"/>
            </w:tcBorders>
            <w:vAlign w:val="center"/>
          </w:tcPr>
          <w:p w14:paraId="0A441DE3">
            <w:pPr>
              <w:spacing w:before="0" w:after="0"/>
              <w:jc w:val="center"/>
            </w:pPr>
            <w:r>
              <w:rPr>
                <w:rFonts w:ascii="宋体" w:hAnsi="宋体" w:eastAsia="宋体"/>
                <w:b w:val="0"/>
                <w:sz w:val="21"/>
              </w:rPr>
              <w:t>0.048800</w:t>
            </w:r>
          </w:p>
        </w:tc>
        <w:tc>
          <w:tcPr>
            <w:tcW w:w="2076" w:type="dxa"/>
            <w:tcBorders>
              <w:top w:val="nil"/>
              <w:left w:val="nil"/>
              <w:bottom w:val="nil"/>
              <w:right w:val="nil"/>
            </w:tcBorders>
            <w:vAlign w:val="center"/>
          </w:tcPr>
          <w:p w14:paraId="15EDDB39">
            <w:pPr>
              <w:spacing w:before="0" w:after="0"/>
              <w:jc w:val="center"/>
            </w:pPr>
            <w:r>
              <w:rPr>
                <w:rFonts w:ascii="宋体" w:hAnsi="宋体" w:eastAsia="宋体"/>
                <w:b w:val="0"/>
                <w:sz w:val="21"/>
              </w:rPr>
              <w:t>0.065869</w:t>
            </w:r>
          </w:p>
        </w:tc>
        <w:tc>
          <w:tcPr>
            <w:tcW w:w="2076" w:type="dxa"/>
            <w:tcBorders>
              <w:top w:val="nil"/>
              <w:left w:val="nil"/>
              <w:bottom w:val="nil"/>
              <w:right w:val="nil"/>
            </w:tcBorders>
            <w:vAlign w:val="center"/>
          </w:tcPr>
          <w:p w14:paraId="087AE9A2">
            <w:pPr>
              <w:spacing w:before="0" w:after="0"/>
              <w:jc w:val="left"/>
            </w:pPr>
            <w:r>
              <w:rPr>
                <w:rFonts w:ascii="宋体" w:hAnsi="宋体" w:eastAsia="宋体"/>
                <w:b w:val="0"/>
                <w:sz w:val="21"/>
              </w:rPr>
              <w:t>空间建模有效，但单步预测略弱</w:t>
            </w:r>
          </w:p>
        </w:tc>
      </w:tr>
      <w:tr w14:paraId="371D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single" w:color="000000" w:sz="12" w:space="0"/>
              <w:right w:val="nil"/>
            </w:tcBorders>
            <w:vAlign w:val="center"/>
          </w:tcPr>
          <w:p w14:paraId="58F3AE4D">
            <w:pPr>
              <w:spacing w:before="0" w:after="0"/>
              <w:jc w:val="center"/>
            </w:pPr>
            <w:r>
              <w:rPr>
                <w:rFonts w:ascii="宋体" w:hAnsi="宋体" w:eastAsia="宋体"/>
                <w:b w:val="0"/>
                <w:sz w:val="21"/>
              </w:rPr>
              <w:t>ST-GNN 多步</w:t>
            </w:r>
          </w:p>
        </w:tc>
        <w:tc>
          <w:tcPr>
            <w:tcW w:w="2076" w:type="dxa"/>
            <w:tcBorders>
              <w:top w:val="nil"/>
              <w:left w:val="nil"/>
              <w:bottom w:val="single" w:color="000000" w:sz="12" w:space="0"/>
              <w:right w:val="nil"/>
            </w:tcBorders>
            <w:vAlign w:val="center"/>
          </w:tcPr>
          <w:p w14:paraId="738BAC2F">
            <w:pPr>
              <w:spacing w:before="0" w:after="0"/>
              <w:jc w:val="center"/>
            </w:pPr>
            <w:r>
              <w:rPr>
                <w:rFonts w:ascii="宋体" w:hAnsi="宋体" w:eastAsia="宋体"/>
                <w:b w:val="0"/>
                <w:sz w:val="21"/>
              </w:rPr>
              <w:t>0.045207</w:t>
            </w:r>
          </w:p>
        </w:tc>
        <w:tc>
          <w:tcPr>
            <w:tcW w:w="2076" w:type="dxa"/>
            <w:tcBorders>
              <w:top w:val="nil"/>
              <w:left w:val="nil"/>
              <w:bottom w:val="single" w:color="000000" w:sz="12" w:space="0"/>
              <w:right w:val="nil"/>
            </w:tcBorders>
            <w:vAlign w:val="center"/>
          </w:tcPr>
          <w:p w14:paraId="76CD14AD">
            <w:pPr>
              <w:spacing w:before="0" w:after="0"/>
              <w:jc w:val="center"/>
            </w:pPr>
            <w:r>
              <w:rPr>
                <w:rFonts w:ascii="宋体" w:hAnsi="宋体" w:eastAsia="宋体"/>
                <w:b w:val="0"/>
                <w:sz w:val="21"/>
              </w:rPr>
              <w:t>0.059901</w:t>
            </w:r>
          </w:p>
        </w:tc>
        <w:tc>
          <w:tcPr>
            <w:tcW w:w="2076" w:type="dxa"/>
            <w:tcBorders>
              <w:top w:val="nil"/>
              <w:left w:val="nil"/>
              <w:bottom w:val="single" w:color="000000" w:sz="12" w:space="0"/>
              <w:right w:val="nil"/>
            </w:tcBorders>
            <w:vAlign w:val="center"/>
          </w:tcPr>
          <w:p w14:paraId="19006CFA">
            <w:pPr>
              <w:spacing w:before="0" w:after="0"/>
              <w:jc w:val="left"/>
            </w:pPr>
            <w:r>
              <w:rPr>
                <w:rFonts w:ascii="宋体" w:hAnsi="宋体" w:eastAsia="宋体"/>
                <w:b w:val="0"/>
                <w:sz w:val="21"/>
              </w:rPr>
              <w:t>当前正式最优模型</w:t>
            </w:r>
          </w:p>
        </w:tc>
      </w:tr>
    </w:tbl>
    <w:p w14:paraId="3497A4F5">
      <w:pPr>
        <w:pStyle w:val="41"/>
      </w:pPr>
    </w:p>
    <w:p w14:paraId="50C166F1">
      <w:pPr>
        <w:pStyle w:val="4"/>
        <w:numPr>
          <w:ilvl w:val="1"/>
          <w:numId w:val="0"/>
        </w:numPr>
        <w:ind w:left="0" w:leftChars="0" w:firstLine="0" w:firstLineChars="0"/>
      </w:pPr>
      <w:bookmarkStart w:id="18" w:name="_Toc14967"/>
      <w:r>
        <w:rPr>
          <w:rFonts w:hint="eastAsia" w:ascii="Arial" w:hAnsi="Arial" w:eastAsia="黑体" w:cstheme="majorBidi"/>
          <w:bCs/>
          <w:kern w:val="2"/>
          <w:sz w:val="30"/>
          <w:szCs w:val="32"/>
          <w:lang w:val="en-US" w:eastAsia="zh-CN" w:bidi="ar-SA"/>
        </w:rPr>
        <w:t>6.3</w:t>
      </w:r>
      <w:r>
        <w:t>优化复验与结果分析</w:t>
      </w:r>
      <w:bookmarkEnd w:id="18"/>
    </w:p>
    <w:p w14:paraId="7CA29EA4">
      <w:pPr>
        <w:pStyle w:val="3"/>
        <w:jc w:val="both"/>
      </w:pPr>
      <w:r>
        <w:rPr>
          <w:sz w:val="24"/>
        </w:rPr>
        <w:t>在正式模型基础上，团队进一步开展了 multi-seed 与邻接参数扫描实验。结果显示，原始多 seed 复验并没有刷新当前正式模型的最优值，说明当前正式权重已经是这一组随机种子中的最好结果；而 adjacency sweep 则找到了更优的邻接组合 combo_064，其参数为 radius_km=18、k=8、wind_scale=0.45、similarity_weight=0.35。对该组合再次执行 multi-seed 复验后，最优 RMSE 从正式模型的 0.059901 下降到 0.059540，最优 MAE 从 0.045207 下降到 0.044876。虽然均值波动并未显著收敛，但该结果说明图结构参数仍然存在可优化空间，也为平台后续模型升级提供了可信候选。</w:t>
      </w:r>
    </w:p>
    <w:p w14:paraId="524574C1">
      <w:pPr>
        <w:pStyle w:val="41"/>
        <w:jc w:val="center"/>
      </w:pPr>
      <w:r>
        <w:drawing>
          <wp:inline distT="0" distB="0" distL="114300" distR="114300">
            <wp:extent cx="5759450" cy="2565400"/>
            <wp:effectExtent l="0" t="0" r="1270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60000" cy="2565818"/>
                    </a:xfrm>
                    <a:prstGeom prst="rect">
                      <a:avLst/>
                    </a:prstGeom>
                  </pic:spPr>
                </pic:pic>
              </a:graphicData>
            </a:graphic>
          </wp:inline>
        </w:drawing>
      </w:r>
    </w:p>
    <w:p w14:paraId="41A0F1ED">
      <w:pPr>
        <w:pStyle w:val="12"/>
        <w:jc w:val="center"/>
      </w:pPr>
      <w:r>
        <w:t xml:space="preserve">图 </w:t>
      </w:r>
      <w:r>
        <w:rPr>
          <w:rFonts w:hint="eastAsia"/>
          <w:lang w:val="en-US" w:eastAsia="zh-CN"/>
        </w:rPr>
        <w:t>5</w:t>
      </w:r>
      <w:r>
        <w:t xml:space="preserve">  邻接参数优化与 multi-seed 复验结果</w:t>
      </w:r>
    </w:p>
    <w:p w14:paraId="7C75EDB2">
      <w:pPr>
        <w:pStyle w:val="12"/>
        <w:jc w:val="center"/>
      </w:pPr>
      <w:r>
        <w:t xml:space="preserve">表 </w:t>
      </w:r>
      <w:r>
        <w:rPr>
          <w:rFonts w:hint="eastAsia"/>
          <w:lang w:val="en-US" w:eastAsia="zh-CN"/>
        </w:rPr>
        <w:t>6</w:t>
      </w:r>
      <w:r>
        <w:t xml:space="preserve">  优化实验关键结果</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7D98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single" w:color="000000" w:sz="12" w:space="0"/>
              <w:left w:val="nil"/>
              <w:bottom w:val="single" w:color="000000" w:sz="12" w:space="0"/>
              <w:right w:val="nil"/>
            </w:tcBorders>
            <w:vAlign w:val="center"/>
          </w:tcPr>
          <w:p w14:paraId="508E9CC1">
            <w:pPr>
              <w:spacing w:before="0" w:after="0"/>
              <w:jc w:val="center"/>
            </w:pPr>
            <w:r>
              <w:rPr>
                <w:rFonts w:ascii="宋体" w:hAnsi="宋体" w:eastAsia="宋体"/>
                <w:b/>
                <w:sz w:val="21"/>
              </w:rPr>
              <w:t>实验项</w:t>
            </w:r>
          </w:p>
        </w:tc>
        <w:tc>
          <w:tcPr>
            <w:tcW w:w="2076" w:type="dxa"/>
            <w:tcBorders>
              <w:top w:val="single" w:color="000000" w:sz="12" w:space="0"/>
              <w:left w:val="nil"/>
              <w:bottom w:val="single" w:color="000000" w:sz="12" w:space="0"/>
              <w:right w:val="nil"/>
            </w:tcBorders>
            <w:vAlign w:val="center"/>
          </w:tcPr>
          <w:p w14:paraId="499A50D5">
            <w:pPr>
              <w:spacing w:before="0" w:after="0"/>
              <w:jc w:val="center"/>
            </w:pPr>
            <w:r>
              <w:rPr>
                <w:rFonts w:ascii="宋体" w:hAnsi="宋体" w:eastAsia="宋体"/>
                <w:b/>
                <w:sz w:val="21"/>
              </w:rPr>
              <w:t>MAE</w:t>
            </w:r>
          </w:p>
        </w:tc>
        <w:tc>
          <w:tcPr>
            <w:tcW w:w="2076" w:type="dxa"/>
            <w:tcBorders>
              <w:top w:val="single" w:color="000000" w:sz="12" w:space="0"/>
              <w:left w:val="nil"/>
              <w:bottom w:val="single" w:color="000000" w:sz="12" w:space="0"/>
              <w:right w:val="nil"/>
            </w:tcBorders>
            <w:vAlign w:val="center"/>
          </w:tcPr>
          <w:p w14:paraId="7B830201">
            <w:pPr>
              <w:spacing w:before="0" w:after="0"/>
              <w:jc w:val="center"/>
            </w:pPr>
            <w:r>
              <w:rPr>
                <w:rFonts w:ascii="宋体" w:hAnsi="宋体" w:eastAsia="宋体"/>
                <w:b/>
                <w:sz w:val="21"/>
              </w:rPr>
              <w:t>RMSE</w:t>
            </w:r>
          </w:p>
        </w:tc>
        <w:tc>
          <w:tcPr>
            <w:tcW w:w="2076" w:type="dxa"/>
            <w:tcBorders>
              <w:top w:val="single" w:color="000000" w:sz="12" w:space="0"/>
              <w:left w:val="nil"/>
              <w:bottom w:val="single" w:color="000000" w:sz="12" w:space="0"/>
              <w:right w:val="nil"/>
            </w:tcBorders>
            <w:vAlign w:val="center"/>
          </w:tcPr>
          <w:p w14:paraId="2F0D4B8A">
            <w:pPr>
              <w:spacing w:before="0" w:after="0"/>
              <w:jc w:val="center"/>
            </w:pPr>
            <w:r>
              <w:rPr>
                <w:rFonts w:ascii="宋体" w:hAnsi="宋体" w:eastAsia="宋体"/>
                <w:b/>
                <w:sz w:val="21"/>
              </w:rPr>
              <w:t>说明</w:t>
            </w:r>
          </w:p>
        </w:tc>
      </w:tr>
      <w:tr w14:paraId="27A4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325C76F8">
            <w:pPr>
              <w:spacing w:before="0" w:after="0"/>
              <w:jc w:val="center"/>
            </w:pPr>
            <w:r>
              <w:rPr>
                <w:rFonts w:ascii="宋体" w:hAnsi="宋体" w:eastAsia="宋体"/>
                <w:b w:val="0"/>
                <w:sz w:val="21"/>
              </w:rPr>
              <w:t>当前正式最优</w:t>
            </w:r>
          </w:p>
        </w:tc>
        <w:tc>
          <w:tcPr>
            <w:tcW w:w="2076" w:type="dxa"/>
            <w:tcBorders>
              <w:top w:val="nil"/>
              <w:left w:val="nil"/>
              <w:bottom w:val="nil"/>
              <w:right w:val="nil"/>
            </w:tcBorders>
            <w:vAlign w:val="center"/>
          </w:tcPr>
          <w:p w14:paraId="353F59B8">
            <w:pPr>
              <w:spacing w:before="0" w:after="0"/>
              <w:jc w:val="center"/>
            </w:pPr>
            <w:r>
              <w:rPr>
                <w:rFonts w:ascii="宋体" w:hAnsi="宋体" w:eastAsia="宋体"/>
                <w:b w:val="0"/>
                <w:sz w:val="21"/>
              </w:rPr>
              <w:t>0.045207</w:t>
            </w:r>
          </w:p>
        </w:tc>
        <w:tc>
          <w:tcPr>
            <w:tcW w:w="2076" w:type="dxa"/>
            <w:tcBorders>
              <w:top w:val="nil"/>
              <w:left w:val="nil"/>
              <w:bottom w:val="nil"/>
              <w:right w:val="nil"/>
            </w:tcBorders>
            <w:vAlign w:val="center"/>
          </w:tcPr>
          <w:p w14:paraId="2712C674">
            <w:pPr>
              <w:spacing w:before="0" w:after="0"/>
              <w:jc w:val="center"/>
            </w:pPr>
            <w:r>
              <w:rPr>
                <w:rFonts w:ascii="宋体" w:hAnsi="宋体" w:eastAsia="宋体"/>
                <w:b w:val="0"/>
                <w:sz w:val="21"/>
              </w:rPr>
              <w:t>0.059901</w:t>
            </w:r>
          </w:p>
        </w:tc>
        <w:tc>
          <w:tcPr>
            <w:tcW w:w="2076" w:type="dxa"/>
            <w:tcBorders>
              <w:top w:val="nil"/>
              <w:left w:val="nil"/>
              <w:bottom w:val="nil"/>
              <w:right w:val="nil"/>
            </w:tcBorders>
            <w:vAlign w:val="center"/>
          </w:tcPr>
          <w:p w14:paraId="1E4C30F6">
            <w:pPr>
              <w:spacing w:before="0" w:after="0"/>
              <w:jc w:val="left"/>
            </w:pPr>
            <w:r>
              <w:rPr>
                <w:rFonts w:ascii="宋体" w:hAnsi="宋体" w:eastAsia="宋体"/>
                <w:b w:val="0"/>
                <w:sz w:val="21"/>
              </w:rPr>
              <w:t>正式平台默认多步 ST-GNN</w:t>
            </w:r>
          </w:p>
        </w:tc>
      </w:tr>
      <w:tr w14:paraId="554D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25E2B617">
            <w:pPr>
              <w:spacing w:before="0" w:after="0"/>
              <w:jc w:val="center"/>
            </w:pPr>
            <w:r>
              <w:rPr>
                <w:rFonts w:ascii="宋体" w:hAnsi="宋体" w:eastAsia="宋体"/>
                <w:b w:val="0"/>
                <w:sz w:val="21"/>
              </w:rPr>
              <w:t>combo_064 最优</w:t>
            </w:r>
          </w:p>
        </w:tc>
        <w:tc>
          <w:tcPr>
            <w:tcW w:w="2076" w:type="dxa"/>
            <w:tcBorders>
              <w:top w:val="nil"/>
              <w:left w:val="nil"/>
              <w:bottom w:val="nil"/>
              <w:right w:val="nil"/>
            </w:tcBorders>
            <w:vAlign w:val="center"/>
          </w:tcPr>
          <w:p w14:paraId="308F3A11">
            <w:pPr>
              <w:spacing w:before="0" w:after="0"/>
              <w:jc w:val="center"/>
            </w:pPr>
            <w:r>
              <w:rPr>
                <w:rFonts w:ascii="宋体" w:hAnsi="宋体" w:eastAsia="宋体"/>
                <w:b w:val="0"/>
                <w:sz w:val="21"/>
              </w:rPr>
              <w:t>0.044876</w:t>
            </w:r>
          </w:p>
        </w:tc>
        <w:tc>
          <w:tcPr>
            <w:tcW w:w="2076" w:type="dxa"/>
            <w:tcBorders>
              <w:top w:val="nil"/>
              <w:left w:val="nil"/>
              <w:bottom w:val="nil"/>
              <w:right w:val="nil"/>
            </w:tcBorders>
            <w:vAlign w:val="center"/>
          </w:tcPr>
          <w:p w14:paraId="590E9E0D">
            <w:pPr>
              <w:spacing w:before="0" w:after="0"/>
              <w:jc w:val="center"/>
            </w:pPr>
            <w:r>
              <w:rPr>
                <w:rFonts w:ascii="宋体" w:hAnsi="宋体" w:eastAsia="宋体"/>
                <w:b w:val="0"/>
                <w:sz w:val="21"/>
              </w:rPr>
              <w:t>0.059540</w:t>
            </w:r>
          </w:p>
        </w:tc>
        <w:tc>
          <w:tcPr>
            <w:tcW w:w="2076" w:type="dxa"/>
            <w:tcBorders>
              <w:top w:val="nil"/>
              <w:left w:val="nil"/>
              <w:bottom w:val="nil"/>
              <w:right w:val="nil"/>
            </w:tcBorders>
            <w:vAlign w:val="center"/>
          </w:tcPr>
          <w:p w14:paraId="5C541940">
            <w:pPr>
              <w:spacing w:before="0" w:after="0"/>
              <w:jc w:val="left"/>
            </w:pPr>
            <w:r>
              <w:rPr>
                <w:rFonts w:ascii="宋体" w:hAnsi="宋体" w:eastAsia="宋体"/>
                <w:b w:val="0"/>
                <w:sz w:val="21"/>
              </w:rPr>
              <w:t>邻接参数优化后候选最优</w:t>
            </w:r>
          </w:p>
        </w:tc>
      </w:tr>
      <w:tr w14:paraId="3400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vAlign w:val="center"/>
          </w:tcPr>
          <w:p w14:paraId="6E5A492A">
            <w:pPr>
              <w:spacing w:before="0" w:after="0"/>
              <w:jc w:val="center"/>
            </w:pPr>
            <w:r>
              <w:rPr>
                <w:rFonts w:ascii="宋体" w:hAnsi="宋体" w:eastAsia="宋体"/>
                <w:b w:val="0"/>
                <w:sz w:val="21"/>
              </w:rPr>
              <w:t>当前多 seed 均值</w:t>
            </w:r>
          </w:p>
        </w:tc>
        <w:tc>
          <w:tcPr>
            <w:tcW w:w="2076" w:type="dxa"/>
            <w:tcBorders>
              <w:top w:val="nil"/>
              <w:left w:val="nil"/>
              <w:bottom w:val="nil"/>
              <w:right w:val="nil"/>
            </w:tcBorders>
            <w:vAlign w:val="center"/>
          </w:tcPr>
          <w:p w14:paraId="087F833D">
            <w:pPr>
              <w:spacing w:before="0" w:after="0"/>
              <w:jc w:val="center"/>
            </w:pPr>
            <w:r>
              <w:rPr>
                <w:rFonts w:ascii="宋体" w:hAnsi="宋体" w:eastAsia="宋体"/>
                <w:b w:val="0"/>
                <w:sz w:val="21"/>
              </w:rPr>
              <w:t>0.049835</w:t>
            </w:r>
          </w:p>
        </w:tc>
        <w:tc>
          <w:tcPr>
            <w:tcW w:w="2076" w:type="dxa"/>
            <w:tcBorders>
              <w:top w:val="nil"/>
              <w:left w:val="nil"/>
              <w:bottom w:val="nil"/>
              <w:right w:val="nil"/>
            </w:tcBorders>
            <w:vAlign w:val="center"/>
          </w:tcPr>
          <w:p w14:paraId="0AEA741C">
            <w:pPr>
              <w:spacing w:before="0" w:after="0"/>
              <w:jc w:val="center"/>
            </w:pPr>
            <w:r>
              <w:rPr>
                <w:rFonts w:ascii="宋体" w:hAnsi="宋体" w:eastAsia="宋体"/>
                <w:b w:val="0"/>
                <w:sz w:val="21"/>
              </w:rPr>
              <w:t>0.064901</w:t>
            </w:r>
          </w:p>
        </w:tc>
        <w:tc>
          <w:tcPr>
            <w:tcW w:w="2076" w:type="dxa"/>
            <w:tcBorders>
              <w:top w:val="nil"/>
              <w:left w:val="nil"/>
              <w:bottom w:val="nil"/>
              <w:right w:val="nil"/>
            </w:tcBorders>
            <w:vAlign w:val="center"/>
          </w:tcPr>
          <w:p w14:paraId="4C097D6A">
            <w:pPr>
              <w:spacing w:before="0" w:after="0"/>
              <w:jc w:val="left"/>
            </w:pPr>
            <w:r>
              <w:rPr>
                <w:rFonts w:ascii="宋体" w:hAnsi="宋体" w:eastAsia="宋体"/>
                <w:b w:val="0"/>
                <w:sz w:val="21"/>
              </w:rPr>
              <w:t>用于判断当前方案稳定性</w:t>
            </w:r>
          </w:p>
        </w:tc>
      </w:tr>
      <w:tr w14:paraId="2419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single" w:color="000000" w:sz="12" w:space="0"/>
              <w:right w:val="nil"/>
            </w:tcBorders>
            <w:vAlign w:val="center"/>
          </w:tcPr>
          <w:p w14:paraId="5A6F0984">
            <w:pPr>
              <w:spacing w:before="0" w:after="0"/>
              <w:jc w:val="center"/>
            </w:pPr>
            <w:r>
              <w:rPr>
                <w:rFonts w:ascii="宋体" w:hAnsi="宋体" w:eastAsia="宋体"/>
                <w:b w:val="0"/>
                <w:sz w:val="21"/>
              </w:rPr>
              <w:t>combo_064 多 seed 均值</w:t>
            </w:r>
          </w:p>
        </w:tc>
        <w:tc>
          <w:tcPr>
            <w:tcW w:w="2076" w:type="dxa"/>
            <w:tcBorders>
              <w:top w:val="nil"/>
              <w:left w:val="nil"/>
              <w:bottom w:val="single" w:color="000000" w:sz="12" w:space="0"/>
              <w:right w:val="nil"/>
            </w:tcBorders>
            <w:vAlign w:val="center"/>
          </w:tcPr>
          <w:p w14:paraId="514F654F">
            <w:pPr>
              <w:spacing w:before="0" w:after="0"/>
              <w:jc w:val="center"/>
            </w:pPr>
            <w:r>
              <w:rPr>
                <w:rFonts w:ascii="宋体" w:hAnsi="宋体" w:eastAsia="宋体"/>
                <w:b w:val="0"/>
                <w:sz w:val="21"/>
              </w:rPr>
              <w:t>0.049599</w:t>
            </w:r>
          </w:p>
        </w:tc>
        <w:tc>
          <w:tcPr>
            <w:tcW w:w="2076" w:type="dxa"/>
            <w:tcBorders>
              <w:top w:val="nil"/>
              <w:left w:val="nil"/>
              <w:bottom w:val="single" w:color="000000" w:sz="12" w:space="0"/>
              <w:right w:val="nil"/>
            </w:tcBorders>
            <w:vAlign w:val="center"/>
          </w:tcPr>
          <w:p w14:paraId="65253ED1">
            <w:pPr>
              <w:spacing w:before="0" w:after="0"/>
              <w:jc w:val="center"/>
            </w:pPr>
            <w:r>
              <w:rPr>
                <w:rFonts w:ascii="宋体" w:hAnsi="宋体" w:eastAsia="宋体"/>
                <w:b w:val="0"/>
                <w:sz w:val="21"/>
              </w:rPr>
              <w:t>0.064689</w:t>
            </w:r>
          </w:p>
        </w:tc>
        <w:tc>
          <w:tcPr>
            <w:tcW w:w="2076" w:type="dxa"/>
            <w:tcBorders>
              <w:top w:val="nil"/>
              <w:left w:val="nil"/>
              <w:bottom w:val="single" w:color="000000" w:sz="12" w:space="0"/>
              <w:right w:val="nil"/>
            </w:tcBorders>
            <w:vAlign w:val="center"/>
          </w:tcPr>
          <w:p w14:paraId="1135F1BA">
            <w:pPr>
              <w:spacing w:before="0" w:after="0"/>
              <w:jc w:val="left"/>
            </w:pPr>
            <w:r>
              <w:rPr>
                <w:rFonts w:ascii="宋体" w:hAnsi="宋体" w:eastAsia="宋体"/>
                <w:b w:val="0"/>
                <w:sz w:val="21"/>
              </w:rPr>
              <w:t>提升主要体现于最优值而非方差收敛</w:t>
            </w:r>
          </w:p>
        </w:tc>
      </w:tr>
    </w:tbl>
    <w:p w14:paraId="153C1E31">
      <w:pPr>
        <w:pStyle w:val="41"/>
      </w:pPr>
    </w:p>
    <w:p w14:paraId="1CD6D4E0">
      <w:pPr>
        <w:pStyle w:val="2"/>
        <w:numPr>
          <w:ilvl w:val="0"/>
          <w:numId w:val="0"/>
        </w:numPr>
        <w:ind w:left="0" w:leftChars="0" w:firstLine="0" w:firstLineChars="0"/>
      </w:pPr>
      <w:bookmarkStart w:id="19" w:name="_Toc5402"/>
      <w:r>
        <w:rPr>
          <w:rFonts w:hint="eastAsia" w:ascii="Arial" w:hAnsi="Arial" w:eastAsia="黑体" w:cstheme="minorBidi"/>
          <w:bCs/>
          <w:kern w:val="44"/>
          <w:sz w:val="36"/>
          <w:szCs w:val="44"/>
          <w:lang w:val="zh-CN" w:eastAsia="zh-CN" w:bidi="ar-SA"/>
        </w:rPr>
        <w:t>第7章</w:t>
      </w:r>
      <w:r>
        <w:rPr>
          <w:rFonts w:hint="eastAsia" w:cstheme="minorBidi"/>
          <w:bCs/>
          <w:kern w:val="44"/>
          <w:sz w:val="36"/>
          <w:szCs w:val="44"/>
          <w:lang w:val="en-US" w:eastAsia="zh-CN" w:bidi="ar-SA"/>
        </w:rPr>
        <w:t xml:space="preserve"> </w:t>
      </w:r>
      <w:r>
        <w:t>作品总结</w:t>
      </w:r>
      <w:bookmarkEnd w:id="19"/>
    </w:p>
    <w:p w14:paraId="217431EB">
      <w:pPr>
        <w:pStyle w:val="4"/>
        <w:numPr>
          <w:ilvl w:val="1"/>
          <w:numId w:val="0"/>
        </w:numPr>
        <w:ind w:left="0" w:leftChars="0" w:firstLine="0" w:firstLineChars="0"/>
      </w:pPr>
      <w:bookmarkStart w:id="20" w:name="_Toc1226"/>
      <w:r>
        <w:rPr>
          <w:rFonts w:hint="eastAsia" w:ascii="Arial" w:hAnsi="Arial" w:eastAsia="黑体" w:cstheme="majorBidi"/>
          <w:bCs/>
          <w:kern w:val="2"/>
          <w:sz w:val="30"/>
          <w:szCs w:val="32"/>
          <w:lang w:val="en-US" w:eastAsia="zh-CN" w:bidi="ar-SA"/>
        </w:rPr>
        <w:t>7.1</w:t>
      </w:r>
      <w:r>
        <w:t>作品特色与创新点</w:t>
      </w:r>
      <w:bookmarkEnd w:id="20"/>
    </w:p>
    <w:p w14:paraId="1D262981">
      <w:pPr>
        <w:pStyle w:val="3"/>
        <w:jc w:val="both"/>
      </w:pPr>
      <w:r>
        <w:rPr>
          <w:sz w:val="24"/>
        </w:rPr>
        <w:t>本作品的创新性主要体现在三个方面。其一，作品没有把区域碳汇分析停留在单次离线建模，而是围绕季度尺度构建了可复用的数据处理、训练与服务发布闭环，形成了真正可运行的平台原型；其二，在图结构设计上，将距离半径、近邻连接、风向传播和特征相似度融合到 hybrid_wind_knn 邻接中，使空间传播关系更贴近区域碳汇问题本身；其三，作品重视交付和验证，完成了启动脚本、Docker 发布、Release 交付目录和前后端联调，使评审和使用方能够以较低门槛直接访问系统。</w:t>
      </w:r>
    </w:p>
    <w:p w14:paraId="46466E4D">
      <w:pPr>
        <w:pStyle w:val="4"/>
        <w:numPr>
          <w:ilvl w:val="1"/>
          <w:numId w:val="0"/>
        </w:numPr>
        <w:ind w:left="0" w:leftChars="0" w:firstLine="0" w:firstLineChars="0"/>
      </w:pPr>
      <w:bookmarkStart w:id="21" w:name="_Toc5858"/>
      <w:r>
        <w:rPr>
          <w:rFonts w:hint="eastAsia" w:ascii="Arial" w:hAnsi="Arial" w:eastAsia="黑体" w:cstheme="majorBidi"/>
          <w:bCs/>
          <w:kern w:val="2"/>
          <w:sz w:val="30"/>
          <w:szCs w:val="32"/>
          <w:lang w:val="en-US" w:eastAsia="zh-CN" w:bidi="ar-SA"/>
        </w:rPr>
        <w:t>7.2</w:t>
      </w:r>
      <w:r>
        <w:t>应用推广</w:t>
      </w:r>
      <w:bookmarkEnd w:id="21"/>
    </w:p>
    <w:p w14:paraId="55A78764">
      <w:pPr>
        <w:pStyle w:val="3"/>
        <w:jc w:val="both"/>
        <w:rPr>
          <w:sz w:val="24"/>
          <w:lang w:val="en-US" w:eastAsia="zh-CN"/>
        </w:rPr>
      </w:pPr>
      <w:r>
        <w:rPr>
          <w:rFonts w:hint="default"/>
          <w:sz w:val="24"/>
          <w:lang w:val="en-US" w:eastAsia="zh-CN"/>
        </w:rPr>
        <w:t>作品当前以南京研究区为样本完成验证，但其整体设计并不是围绕单一区域做的一次性实验拼接，而是按照“规则网格组织、多源季度特征装配、图时序建模、服务聚合发布、前端交互呈现”这一统一技术链路构建，因此具备较强的区域迁移能力。就现有工程实现而言，作品已经完成了网格节点组织方式、季度特征表结构、模型输入格式、模型产物目录、后端读取逻辑和前端展示入口的统一，这意味着后续如果迁移到其他城市或城市群场景，并不需要重新搭建整套平台，而是在同一框架下替换区域网格、季度遥感特征、气象变量、排放代理变量和质量控制标签，再按既有流程完成训练、推理与部署即可。换言之，作品当前虽然只在南京区域上完成了实证验证，但其实现方式已经具备“以样本区验证、以标准链路复制”的推广基础。</w:t>
      </w:r>
    </w:p>
    <w:p w14:paraId="2A521A97">
      <w:pPr>
        <w:pStyle w:val="3"/>
        <w:jc w:val="both"/>
        <w:rPr>
          <w:rFonts w:hint="default"/>
          <w:sz w:val="24"/>
          <w:lang w:val="en-US" w:eastAsia="zh-CN"/>
        </w:rPr>
      </w:pPr>
      <w:r>
        <w:rPr>
          <w:rFonts w:hint="default"/>
          <w:sz w:val="24"/>
          <w:lang w:val="en-US" w:eastAsia="zh-CN"/>
        </w:rPr>
        <w:t>从应用场景看，本作品首先适用于生态修复成效评估与重点片区持续跟踪。相较于仅能提供年度总量或行政区平均值的静态结果，平台当前已经具备季度尺度、网格级别的时空分析能力，能够更细致地反映植被恢复、建成区扩张、水体变化和土地利用调整对区域碳汇状态的影响。在生态修复或国土整治类任务中，这种能力有助于对特定片区开展修复前后对比、阶段性评估和动态跟踪，不仅能看到整体趋势，也能识别局部区域的差异变化。对于需要持续监测修复效果的场景而言，季度尺度的表达比年度尺度更具过程性，也更符合管理部门对阶段性判断和滚动评估的实际需求。</w:t>
      </w:r>
    </w:p>
    <w:p w14:paraId="01048CDC">
      <w:pPr>
        <w:pStyle w:val="3"/>
        <w:jc w:val="both"/>
        <w:rPr>
          <w:rFonts w:hint="default"/>
          <w:sz w:val="24"/>
          <w:lang w:val="en-US" w:eastAsia="zh-CN"/>
        </w:rPr>
      </w:pPr>
      <w:r>
        <w:rPr>
          <w:rFonts w:hint="default"/>
          <w:sz w:val="24"/>
          <w:lang w:val="en-US" w:eastAsia="zh-CN"/>
        </w:rPr>
        <w:t>其次，本作品适用于土地利用变化跟踪和区域碳收支对比分析。当前系统已经将高精度季度 Sentinel-2 特征、ERA5 气象变量和 EDGAR 排放代理统一到规则网格之上，并形成了可供模型训练与平台展示的一体化数据底座。因此，在不同功能区、不同片区或不同时段之间，平台可以在统一空间单位与统一时间粒度下进行对比分析，帮助使用者观察区域碳汇强弱分布、变化趋势和扰动响应差异。对于城市建成区扩张较快、土地利用调整频繁的区域，这样的分析方式能够更直观地展示地表覆盖变化与碳汇演化之间的关系，也为后续开展更精细的区域碳收支研究提供了可复用的分析框架。</w:t>
      </w:r>
    </w:p>
    <w:p w14:paraId="4432B2AA">
      <w:pPr>
        <w:pStyle w:val="3"/>
        <w:jc w:val="both"/>
        <w:rPr>
          <w:rFonts w:hint="default"/>
          <w:sz w:val="24"/>
          <w:lang w:val="en-US" w:eastAsia="zh-CN"/>
        </w:rPr>
      </w:pPr>
      <w:r>
        <w:rPr>
          <w:rFonts w:hint="default"/>
          <w:sz w:val="24"/>
          <w:lang w:val="en-US" w:eastAsia="zh-CN"/>
        </w:rPr>
        <w:t>再次，作品具备较好的科研教学和实验平台推广价值。当前系统不仅保留了多源数据处理、模型训练、指标评估和情景推演的完整链路，而且已经通过前端平台将这些过程转化为可视化界面。对于教学和科研训练场景而言，这种从数据进入、模型训练到结果展示的全流程平台具有较高的示范性：一方面，使用者可以较直观地理解多源遥感与环境数据是如何进入图时序模型的；另一方面，也可以通过情景推演界面观察空间框选、节点扰动与结果变化之间的联系，从而更容易理解图结构建模和区域演化分析的实际意义。与单纯展示论文结果相比，这类“可运行、可交互、可复验”的平台更适合作为课程设计、竞赛训练和科研原型展示的支撑工具。</w:t>
      </w:r>
    </w:p>
    <w:p w14:paraId="7E6696F0">
      <w:pPr>
        <w:pStyle w:val="3"/>
        <w:jc w:val="both"/>
        <w:rPr>
          <w:rFonts w:hint="default"/>
          <w:sz w:val="24"/>
          <w:lang w:val="en-US" w:eastAsia="zh-CN"/>
        </w:rPr>
      </w:pPr>
      <w:r>
        <w:rPr>
          <w:rFonts w:hint="default"/>
          <w:sz w:val="24"/>
          <w:lang w:val="en-US" w:eastAsia="zh-CN"/>
        </w:rPr>
        <w:t>另外，从交付和部署角度看，本作品也具备较好的推广便利性。团队已经完成了一键启动脚本、Docker 镜像发布和精简交付目录整理，这使得平台不再依赖复杂的本地源码环境。对于一般使用方而言，不需要重新配置 Python、Node.js、训练环境或前后端依赖，只需按照已有交付方式启动容器即可访问平台。这一点对于作品推广非常关键，因为很多原型系统并不是能力不足，而是部署门槛过高、复现成本过大，最终难以真正被使用。相比之下，本作品已经在“从实验脚本走向可用系统”这一步完成了较为扎实的收口，这为其在教学展示、团队复用和场景延伸中的推广应用提供了现实基础。</w:t>
      </w:r>
    </w:p>
    <w:p w14:paraId="590B2BA6">
      <w:pPr>
        <w:pStyle w:val="3"/>
        <w:jc w:val="both"/>
        <w:rPr>
          <w:rFonts w:hint="default"/>
          <w:sz w:val="24"/>
          <w:lang w:val="en-US" w:eastAsia="zh-CN"/>
        </w:rPr>
      </w:pPr>
      <w:r>
        <w:rPr>
          <w:rFonts w:hint="default"/>
          <w:sz w:val="24"/>
          <w:lang w:val="en-US" w:eastAsia="zh-CN"/>
        </w:rPr>
        <w:t>总体而言，本作品的推广价值并不在于简单复制一个南京样例，而在于已经形成了一套从多源季度数据进入，到图时序模型训练，再到后端服务聚合与前端平台展示的标准化实现路径。只要后续目标区域具备相应的数据基础，现有链路就具备较好的复用空间，因此作品不仅适合作为当前参赛项目展示，也具备向其他区域分析任务、科研原型验证和教学演示平台延伸的可能性。</w:t>
      </w:r>
    </w:p>
    <w:p w14:paraId="1F678BBB">
      <w:pPr>
        <w:pStyle w:val="3"/>
        <w:jc w:val="both"/>
        <w:rPr>
          <w:sz w:val="24"/>
        </w:rPr>
      </w:pPr>
    </w:p>
    <w:p w14:paraId="5FA0FC93">
      <w:pPr>
        <w:pStyle w:val="4"/>
        <w:numPr>
          <w:ilvl w:val="1"/>
          <w:numId w:val="0"/>
        </w:numPr>
        <w:ind w:left="0" w:leftChars="0" w:firstLine="0" w:firstLineChars="0"/>
      </w:pPr>
      <w:bookmarkStart w:id="22" w:name="_Toc23884"/>
      <w:r>
        <w:rPr>
          <w:rFonts w:hint="eastAsia" w:ascii="Arial" w:hAnsi="Arial" w:eastAsia="黑体" w:cstheme="majorBidi"/>
          <w:bCs/>
          <w:kern w:val="2"/>
          <w:sz w:val="30"/>
          <w:szCs w:val="32"/>
          <w:lang w:val="en-US" w:eastAsia="zh-CN" w:bidi="ar-SA"/>
        </w:rPr>
        <w:t>7.3</w:t>
      </w:r>
      <w:r>
        <w:t>作品展望</w:t>
      </w:r>
      <w:bookmarkEnd w:id="22"/>
    </w:p>
    <w:p w14:paraId="6EF2C1D7">
      <w:pPr>
        <w:pStyle w:val="3"/>
        <w:jc w:val="both"/>
        <w:rPr>
          <w:sz w:val="24"/>
        </w:rPr>
      </w:pPr>
      <w:r>
        <w:rPr>
          <w:rFonts w:hint="default"/>
          <w:sz w:val="24"/>
        </w:rPr>
        <w:t>受限于当前样本长度与数据规模，作品后续仍有较为明确且可操作的深化方向。首先是在数据层继续增强时序长度与特征完备性。当前平台已经完成了 2020-Q1 至 2024-Q4 的季度数据重建、统一和正式训练，这说明数据接入、标准化处理和训练链路已经打通；但从建模角度看，20 个季度时间点仍然属于相对有限的时序长度，容易对多步预测稳定性和跨时段泛化能力形成约束。因此，后续一个最现实的方向是继续补充更长时间范围的季度数据，并在现有高精度季度遥感基础上逐步扩展更稳定、更完整的地表覆盖和环境特征，使模型能够在更丰富的时间跨度内学习区域碳汇变化规律。这一方向并不需要重构现有平台，而是在当前已跑通的数据链路基础上持续扩展和强化，因此具有很强的可执行性。</w:t>
      </w:r>
    </w:p>
    <w:p w14:paraId="6A6C2756">
      <w:pPr>
        <w:pStyle w:val="3"/>
        <w:jc w:val="both"/>
        <w:rPr>
          <w:rFonts w:hint="default"/>
          <w:sz w:val="24"/>
        </w:rPr>
      </w:pPr>
      <w:r>
        <w:rPr>
          <w:rFonts w:hint="default"/>
          <w:sz w:val="24"/>
        </w:rPr>
        <w:t>在数据层深化的同时，质量控制和特征标准化仍然是后续必须继续完善的内容。当前项目已经处理过季度命名差异、特征表结构收口和模板字段空缺等问题，也已经将高精度季度 Sentinel-2 表重建为正式训练源，但如果后续要进一步扩展区域或延长时间序列，就需要继续强化数据入库前的一致性检查、字段完整性验证和特征统计稳定性分析。尤其是对于季度尺度数据而言，时间戳规范、节点主键对齐、特征列缺失检查和区域间字段一致性会直接影响模型输入质量。也就是说，作品的下一步并不仅仅是“多拿一些数据”，而是在既有工程流程中继续把数据规范化能力做得更稳、更可复用，这对于平台长期运行和多区域推广都具有基础性意义。</w:t>
      </w:r>
    </w:p>
    <w:p w14:paraId="567EF3A2">
      <w:pPr>
        <w:pStyle w:val="3"/>
        <w:jc w:val="both"/>
        <w:rPr>
          <w:rFonts w:hint="default"/>
          <w:sz w:val="24"/>
        </w:rPr>
      </w:pPr>
      <w:r>
        <w:rPr>
          <w:rFonts w:hint="default"/>
          <w:sz w:val="24"/>
        </w:rPr>
        <w:t>第二个深化方向是继续推进模型优化结果向正式平台模型的平滑升级。现有实验已经表明，默认正式模型在当前三类模型中表现最好的是多步 ST-GNN，而进一步开展 adjacency sweep 与 multi-seed 复验后，已经找到了比当前正式配置略优的候选图参数组合。这一结果说明当前模型结构和图构建策略仍然存在可优化空间。后续较合理的路径不是盲目更换更复杂的网络，而是在现有实验框架内继续围绕邻接构造、参数稳定性和种子复验展开迭代，待候选结果在误差指标、平台联调和情景推演回归测试上都完成确认后，再将其升级为正式平台默认模型。这样既能保持现有平台稳定运行，又能确保模型优化真正转化为平台层面的能力提升。</w:t>
      </w:r>
    </w:p>
    <w:p w14:paraId="6C0EBF68">
      <w:pPr>
        <w:pStyle w:val="3"/>
        <w:jc w:val="both"/>
        <w:rPr>
          <w:rFonts w:hint="default"/>
          <w:sz w:val="24"/>
        </w:rPr>
      </w:pPr>
      <w:r>
        <w:rPr>
          <w:rFonts w:hint="default"/>
          <w:sz w:val="24"/>
        </w:rPr>
        <w:t>第三个方向是在平台展示层继续加强“模型结果—地图视图—情景推演”之间的一致性联动。当前作品已经完成了前后端平台联调、一键启动、Docker 部署、情景推演交互以及地图展示修复，并且解决了二次新建场景后无法重新框选等实际问题，这说明平台基础交互框架已经具备较好稳定性。但从后续完善角度看，仍可以继续推动主地图碳汇强度层与后端正式推理结果更加紧密地统一，使地图主视图、统计面板、模型指标和情景推演结果建立在同一套正式模型产物之上。这样一来，平台不仅能展示静态结果，还能形成更强的一致性解释链路，使使用者在界面上看到的空间格局、模型指标和推演变化之间保持更明确的对应关系，从而提升平台的整体可信度和使用体验。</w:t>
      </w:r>
    </w:p>
    <w:p w14:paraId="1DFC44E8">
      <w:pPr>
        <w:pStyle w:val="3"/>
        <w:jc w:val="both"/>
        <w:rPr>
          <w:rFonts w:hint="default"/>
          <w:sz w:val="24"/>
        </w:rPr>
      </w:pPr>
      <w:r>
        <w:rPr>
          <w:rFonts w:hint="default"/>
          <w:sz w:val="24"/>
        </w:rPr>
        <w:t>第四个方向是继续完善交付和版本管理机制，使作品从“可运行原型”进一步走向“可持续维护平台”。当前团队已经完成了 Docker 镜像发布、Release 精简交付目录和一键部署方案，这已经显著降低了使用门槛；后续可以在这一基础上进一步规范镜像版本命名、部署说明、更新日志、模型版本切换方式和结果更新流程。例如，当后续模型或数据发生迭代时，可以让平台的版本升级路径更加清晰，使使用者能够明确知道当前接入的是哪一版正式模型、对应哪一批训练数据和哪一种部署镜像。对于一个面向展示和推广的竞赛作品来说，这种版本层面的规范虽然不像模型误差那样直接体现在数值指标上，但会直接影响作品后续被复用、被演示和被维护的可行性。</w:t>
      </w:r>
    </w:p>
    <w:p w14:paraId="5B7C6833">
      <w:pPr>
        <w:pStyle w:val="3"/>
        <w:jc w:val="both"/>
        <w:rPr>
          <w:rFonts w:hint="default"/>
          <w:sz w:val="24"/>
        </w:rPr>
      </w:pPr>
      <w:r>
        <w:rPr>
          <w:rFonts w:hint="default"/>
          <w:sz w:val="24"/>
        </w:rPr>
        <w:t>总体来看，本作品后续的深化方向主要集中在数据增强、模型稳步优化、平台结果联动和交付规范化四个方面。这些方向都建立在当前工程链路已经跑通、平台已经可用、模型已经有正式产物、部署已经有标准方案的基础之上，因此属于可以按阶段实施的增量完善，而不是脱离项目现实条件的空泛设想。也正因为如此，作品的后续发展并不是重新另起炉灶，而是在现有已验证框架中不断提高数据质量、模型效果和平台一致性，使“区域碳汇时空溯源与演化流式计算平台”从一个完成度较高的参赛作品，逐步演化为更稳定、更可复用、更具推广价值的区域碳汇分析平台。</w:t>
      </w:r>
    </w:p>
    <w:p w14:paraId="31E349E2">
      <w:pPr>
        <w:pStyle w:val="3"/>
        <w:jc w:val="both"/>
        <w:rPr>
          <w:sz w:val="24"/>
        </w:rPr>
      </w:pPr>
    </w:p>
    <w:p w14:paraId="16C4A21C">
      <w:pPr>
        <w:pStyle w:val="2"/>
        <w:numPr>
          <w:ilvl w:val="0"/>
          <w:numId w:val="0"/>
        </w:numPr>
        <w:ind w:left="0" w:leftChars="0" w:firstLine="0" w:firstLineChars="0"/>
      </w:pPr>
      <w:bookmarkStart w:id="23" w:name="_Toc29548"/>
      <w:r>
        <w:t>参考文献</w:t>
      </w:r>
      <w:bookmarkEnd w:id="23"/>
    </w:p>
    <w:p w14:paraId="651AE3B5">
      <w:pPr>
        <w:pStyle w:val="3"/>
        <w:numPr>
          <w:ilvl w:val="0"/>
          <w:numId w:val="3"/>
        </w:numPr>
        <w:spacing w:before="0" w:after="0"/>
        <w:ind w:left="425" w:leftChars="0" w:hanging="425" w:firstLineChars="0"/>
      </w:pPr>
      <w:bookmarkStart w:id="24" w:name="_Ref17457"/>
      <w:r>
        <w:t>刘良云, 马会杰, 胡斯勒图, 马会良, 马会莲, 王力哲. 全球碳盘点卫星遥感监测方法、进展与挑战[J]. 遥感学报, 2022, 26(10): 1918-1934. DOI/链接：</w:t>
      </w:r>
      <w:r>
        <w:fldChar w:fldCharType="begin"/>
      </w:r>
      <w:r>
        <w:instrText xml:space="preserve"> HYPERLINK "https://doi.org/10.11834/jrs.20221806" \h </w:instrText>
      </w:r>
      <w:r>
        <w:fldChar w:fldCharType="separate"/>
      </w:r>
      <w:r>
        <w:rPr>
          <w:color w:val="0563C1"/>
          <w:u w:val="single"/>
        </w:rPr>
        <w:t>https://doi.org/10.11834/jrs.20221806</w:t>
      </w:r>
      <w:r>
        <w:rPr>
          <w:color w:val="0563C1"/>
          <w:u w:val="single"/>
        </w:rPr>
        <w:fldChar w:fldCharType="end"/>
      </w:r>
      <w:bookmarkEnd w:id="24"/>
    </w:p>
    <w:p w14:paraId="31720933">
      <w:pPr>
        <w:pStyle w:val="3"/>
        <w:numPr>
          <w:ilvl w:val="0"/>
          <w:numId w:val="3"/>
        </w:numPr>
        <w:spacing w:before="0" w:after="0"/>
        <w:ind w:left="425" w:leftChars="0" w:hanging="425" w:firstLineChars="0"/>
      </w:pPr>
      <w:bookmarkStart w:id="25" w:name="_Ref17551"/>
      <w:r>
        <w:t>丁雷, 马会杰, 刘良云. 温室气体的卫星遥感——进展与趋势[J]. 遥感学报, 2023, 27(10): 2300-2325. DOI/链接：</w:t>
      </w:r>
      <w:r>
        <w:fldChar w:fldCharType="begin"/>
      </w:r>
      <w:r>
        <w:instrText xml:space="preserve"> HYPERLINK "https://doi.org/10.11834/jrs.20233057" \h </w:instrText>
      </w:r>
      <w:r>
        <w:fldChar w:fldCharType="separate"/>
      </w:r>
      <w:r>
        <w:rPr>
          <w:color w:val="0563C1"/>
          <w:u w:val="single"/>
        </w:rPr>
        <w:t>https://doi.org/10.11834/jrs.20233057</w:t>
      </w:r>
      <w:r>
        <w:rPr>
          <w:color w:val="0563C1"/>
          <w:u w:val="single"/>
        </w:rPr>
        <w:fldChar w:fldCharType="end"/>
      </w:r>
      <w:bookmarkEnd w:id="25"/>
    </w:p>
    <w:p w14:paraId="19451A07">
      <w:pPr>
        <w:pStyle w:val="3"/>
        <w:numPr>
          <w:ilvl w:val="0"/>
          <w:numId w:val="3"/>
        </w:numPr>
        <w:spacing w:before="0" w:after="0"/>
        <w:ind w:left="425" w:leftChars="0" w:hanging="425" w:firstLineChars="0"/>
      </w:pPr>
      <w:bookmarkStart w:id="26" w:name="_Ref17558"/>
      <w:r>
        <w:t>夏四友, 杨宇. 基于主体功能区的京津冀城市群碳收支时空分异与碳补偿分区[J]. 地理学报, 2022, 77(3): 679-696. DOI/链接：</w:t>
      </w:r>
      <w:r>
        <w:fldChar w:fldCharType="begin"/>
      </w:r>
      <w:r>
        <w:instrText xml:space="preserve"> HYPERLINK "https://doi.org/10.11821/dlxb202203013" \h </w:instrText>
      </w:r>
      <w:r>
        <w:fldChar w:fldCharType="separate"/>
      </w:r>
      <w:r>
        <w:rPr>
          <w:color w:val="0563C1"/>
          <w:u w:val="single"/>
        </w:rPr>
        <w:t>https://doi.org/10.11821/dlxb202203013</w:t>
      </w:r>
      <w:r>
        <w:rPr>
          <w:color w:val="0563C1"/>
          <w:u w:val="single"/>
        </w:rPr>
        <w:fldChar w:fldCharType="end"/>
      </w:r>
      <w:bookmarkEnd w:id="26"/>
    </w:p>
    <w:p w14:paraId="0BC106D9">
      <w:pPr>
        <w:pStyle w:val="3"/>
        <w:numPr>
          <w:ilvl w:val="0"/>
          <w:numId w:val="3"/>
        </w:numPr>
        <w:spacing w:before="0" w:after="0"/>
        <w:ind w:left="425" w:leftChars="0" w:hanging="425" w:firstLineChars="0"/>
      </w:pPr>
      <w:bookmarkStart w:id="27" w:name="_Ref17564"/>
      <w:r>
        <w:t>刘文利, 马会瑞, 韩升. 中国植被碳源/汇时空演变特征及其驱动因素[J]. 生态学报, 2024, 44(4): 1416-1429. DOI/链接：</w:t>
      </w:r>
      <w:r>
        <w:fldChar w:fldCharType="begin"/>
      </w:r>
      <w:r>
        <w:instrText xml:space="preserve"> HYPERLINK "https://doi.org/10.20103/j.stxb.202303090445" \h </w:instrText>
      </w:r>
      <w:r>
        <w:fldChar w:fldCharType="separate"/>
      </w:r>
      <w:r>
        <w:rPr>
          <w:color w:val="0563C1"/>
          <w:u w:val="single"/>
        </w:rPr>
        <w:t>https://doi.org/10.20103/j.stxb.202303090445</w:t>
      </w:r>
      <w:r>
        <w:rPr>
          <w:color w:val="0563C1"/>
          <w:u w:val="single"/>
        </w:rPr>
        <w:fldChar w:fldCharType="end"/>
      </w:r>
      <w:bookmarkEnd w:id="27"/>
    </w:p>
    <w:p w14:paraId="33CA04CC">
      <w:pPr>
        <w:pStyle w:val="3"/>
        <w:numPr>
          <w:ilvl w:val="0"/>
          <w:numId w:val="3"/>
        </w:numPr>
        <w:spacing w:before="0" w:after="0"/>
        <w:ind w:left="425" w:leftChars="0" w:hanging="425" w:firstLineChars="0"/>
      </w:pPr>
      <w:bookmarkStart w:id="28" w:name="_Ref17754"/>
      <w:r>
        <w:t>王健宗, 孔令炜, 黄章成, 肖京. 图神经网络综述[J]. 计算机工程, 2021, 47(2): 1-14. DOI/链接：</w:t>
      </w:r>
      <w:r>
        <w:fldChar w:fldCharType="begin"/>
      </w:r>
      <w:r>
        <w:instrText xml:space="preserve"> HYPERLINK "https://doi.org/10.19678/j.issn.1000-3428.0058382" \h </w:instrText>
      </w:r>
      <w:r>
        <w:fldChar w:fldCharType="separate"/>
      </w:r>
      <w:r>
        <w:rPr>
          <w:color w:val="0563C1"/>
          <w:u w:val="single"/>
        </w:rPr>
        <w:t>https://doi.org/10.19678/j.issn.1000-3428.0058382</w:t>
      </w:r>
      <w:r>
        <w:rPr>
          <w:color w:val="0563C1"/>
          <w:u w:val="single"/>
        </w:rPr>
        <w:fldChar w:fldCharType="end"/>
      </w:r>
      <w:bookmarkEnd w:id="28"/>
    </w:p>
    <w:p w14:paraId="5D932A6C">
      <w:pPr>
        <w:pStyle w:val="3"/>
        <w:numPr>
          <w:ilvl w:val="0"/>
          <w:numId w:val="3"/>
        </w:numPr>
        <w:spacing w:before="0" w:after="0"/>
        <w:ind w:left="425" w:leftChars="0" w:hanging="425" w:firstLineChars="0"/>
      </w:pPr>
      <w:bookmarkStart w:id="29" w:name="_Ref17760"/>
      <w:r>
        <w:t>姜山, 丁治明, 朱美玲, 严瑾, 徐馨润. 面向时空图建模的图小波卷积神经网络模型[J]. 软件学报, 2021, 32(11): 3486-3500. DOI/链接：</w:t>
      </w:r>
      <w:r>
        <w:fldChar w:fldCharType="begin"/>
      </w:r>
      <w:r>
        <w:instrText xml:space="preserve"> HYPERLINK "https://doi.org/10.13328/j.cnki.jos.006170" \h </w:instrText>
      </w:r>
      <w:r>
        <w:fldChar w:fldCharType="separate"/>
      </w:r>
      <w:r>
        <w:rPr>
          <w:color w:val="0563C1"/>
          <w:u w:val="single"/>
        </w:rPr>
        <w:t>https://doi.org/10.13328/j.cnki.jos.006170</w:t>
      </w:r>
      <w:r>
        <w:rPr>
          <w:color w:val="0563C1"/>
          <w:u w:val="single"/>
        </w:rPr>
        <w:fldChar w:fldCharType="end"/>
      </w:r>
      <w:bookmarkEnd w:id="29"/>
    </w:p>
    <w:p w14:paraId="206E7263">
      <w:pPr>
        <w:pStyle w:val="3"/>
        <w:numPr>
          <w:ilvl w:val="0"/>
          <w:numId w:val="3"/>
        </w:numPr>
        <w:spacing w:before="0" w:after="0"/>
        <w:ind w:left="425" w:leftChars="0" w:hanging="425" w:firstLineChars="0"/>
      </w:pPr>
      <w:bookmarkStart w:id="30" w:name="_Ref17636"/>
      <w:r>
        <w:t>Drusch M, Del Bello U, Carlier S, et al. Sentinel-2: ESA’s Optical High-Resolution Mission for GMES Operational Services[J]. Remote Sensing of Environment, 2012, 120: 25-36. DOI/链接：</w:t>
      </w:r>
      <w:r>
        <w:fldChar w:fldCharType="begin"/>
      </w:r>
      <w:r>
        <w:instrText xml:space="preserve"> HYPERLINK "https://doi.org/10.1016/j.rse.2011.11.026" \h </w:instrText>
      </w:r>
      <w:r>
        <w:fldChar w:fldCharType="separate"/>
      </w:r>
      <w:r>
        <w:rPr>
          <w:color w:val="0563C1"/>
          <w:u w:val="single"/>
        </w:rPr>
        <w:t>https://doi.org/10.1016/j.rse.2011.11.026</w:t>
      </w:r>
      <w:r>
        <w:rPr>
          <w:color w:val="0563C1"/>
          <w:u w:val="single"/>
        </w:rPr>
        <w:fldChar w:fldCharType="end"/>
      </w:r>
      <w:bookmarkEnd w:id="30"/>
    </w:p>
    <w:p w14:paraId="7AF22A2E">
      <w:pPr>
        <w:pStyle w:val="3"/>
        <w:numPr>
          <w:ilvl w:val="0"/>
          <w:numId w:val="3"/>
        </w:numPr>
        <w:spacing w:before="0" w:after="0"/>
        <w:ind w:left="425" w:leftChars="0" w:hanging="425" w:firstLineChars="0"/>
      </w:pPr>
      <w:r>
        <w:t>Hersbach H, Bell B, Berrisford P, et al. ERA5 hourly data on single levels from 1940 to present[DB/OL]. Copernicus Climate Change Service Climate Data Store, 2023. DOI/链接：</w:t>
      </w:r>
      <w:r>
        <w:fldChar w:fldCharType="begin"/>
      </w:r>
      <w:r>
        <w:instrText xml:space="preserve"> HYPERLINK "https://doi.org/10.24381/cds.adbb2d47" \h </w:instrText>
      </w:r>
      <w:r>
        <w:fldChar w:fldCharType="separate"/>
      </w:r>
      <w:r>
        <w:rPr>
          <w:color w:val="0563C1"/>
          <w:u w:val="single"/>
        </w:rPr>
        <w:t>https://doi.org/10.24381/cds.adbb2d47</w:t>
      </w:r>
      <w:r>
        <w:rPr>
          <w:color w:val="0563C1"/>
          <w:u w:val="single"/>
        </w:rPr>
        <w:fldChar w:fldCharType="end"/>
      </w:r>
    </w:p>
    <w:p w14:paraId="0AB81A2C">
      <w:pPr>
        <w:pStyle w:val="3"/>
        <w:numPr>
          <w:ilvl w:val="0"/>
          <w:numId w:val="3"/>
        </w:numPr>
        <w:spacing w:before="0" w:after="0"/>
        <w:ind w:left="425" w:leftChars="0" w:hanging="425" w:firstLineChars="0"/>
      </w:pPr>
      <w:r>
        <w:t>Crippa M, Guizzardi D, Solazzo E, et al. EDGAR v6.0 Greenhouse Gas Emissions[DB/OL]. European Commission, Joint Research Centre, 2024. DOI/链接：</w:t>
      </w:r>
      <w:r>
        <w:fldChar w:fldCharType="begin"/>
      </w:r>
      <w:r>
        <w:instrText xml:space="preserve"> HYPERLINK "https://doi.org/10.2905/JRC.787T5VR" \h </w:instrText>
      </w:r>
      <w:r>
        <w:fldChar w:fldCharType="separate"/>
      </w:r>
      <w:r>
        <w:rPr>
          <w:color w:val="0563C1"/>
          <w:u w:val="single"/>
        </w:rPr>
        <w:t>https://doi.org/10.2905/JRC.787T5VR</w:t>
      </w:r>
      <w:r>
        <w:rPr>
          <w:color w:val="0563C1"/>
          <w:u w:val="single"/>
        </w:rPr>
        <w:fldChar w:fldCharType="end"/>
      </w:r>
    </w:p>
    <w:p w14:paraId="123A8648">
      <w:pPr>
        <w:pStyle w:val="3"/>
        <w:numPr>
          <w:ilvl w:val="0"/>
          <w:numId w:val="3"/>
        </w:numPr>
        <w:spacing w:before="0" w:after="0"/>
        <w:ind w:left="425" w:leftChars="0" w:hanging="425" w:firstLineChars="0"/>
      </w:pPr>
      <w:r>
        <w:t>Hochreiter S, Schmidhuber J. Long Short-Term Memory[J]. Neural Computation, 1997, 9(8): 1735-1780. DOI/链接：</w:t>
      </w:r>
      <w:r>
        <w:fldChar w:fldCharType="begin"/>
      </w:r>
      <w:r>
        <w:instrText xml:space="preserve"> HYPERLINK "https://doi.org/10.1162/neco.1997.9.8.1735" \h </w:instrText>
      </w:r>
      <w:r>
        <w:fldChar w:fldCharType="separate"/>
      </w:r>
      <w:r>
        <w:rPr>
          <w:color w:val="0563C1"/>
          <w:u w:val="single"/>
        </w:rPr>
        <w:t>https://doi.org/10.1162/neco.1997.9.8.1735</w:t>
      </w:r>
      <w:r>
        <w:rPr>
          <w:color w:val="0563C1"/>
          <w:u w:val="single"/>
        </w:rPr>
        <w:fldChar w:fldCharType="end"/>
      </w:r>
    </w:p>
    <w:p w14:paraId="575D382D">
      <w:pPr>
        <w:pStyle w:val="3"/>
        <w:numPr>
          <w:ilvl w:val="0"/>
          <w:numId w:val="3"/>
        </w:numPr>
        <w:spacing w:before="0" w:after="0"/>
        <w:ind w:left="425" w:leftChars="0" w:hanging="425" w:firstLineChars="0"/>
      </w:pPr>
      <w:bookmarkStart w:id="31" w:name="_Ref17767"/>
      <w:r>
        <w:t>Kipf T N, Welling M. Semi-Supervised Classification with Graph Convolutional Networks[EB/OL]. arXiv:1609.02907, 2017. DOI/链接：</w:t>
      </w:r>
      <w:r>
        <w:fldChar w:fldCharType="begin"/>
      </w:r>
      <w:r>
        <w:instrText xml:space="preserve"> HYPERLINK "https://arxiv.org/abs/1609.02907" \h </w:instrText>
      </w:r>
      <w:r>
        <w:fldChar w:fldCharType="separate"/>
      </w:r>
      <w:r>
        <w:rPr>
          <w:color w:val="0563C1"/>
          <w:u w:val="single"/>
        </w:rPr>
        <w:t>https://arxiv.org/abs/1609.02907</w:t>
      </w:r>
      <w:r>
        <w:rPr>
          <w:color w:val="0563C1"/>
          <w:u w:val="single"/>
        </w:rPr>
        <w:fldChar w:fldCharType="end"/>
      </w:r>
      <w:bookmarkEnd w:id="31"/>
    </w:p>
    <w:p w14:paraId="0BBF972F">
      <w:pPr>
        <w:pStyle w:val="3"/>
        <w:numPr>
          <w:ilvl w:val="0"/>
          <w:numId w:val="3"/>
        </w:numPr>
        <w:spacing w:before="0" w:after="0"/>
        <w:ind w:left="425" w:leftChars="0" w:hanging="425" w:firstLineChars="0"/>
      </w:pPr>
      <w:bookmarkStart w:id="32" w:name="_Ref17773"/>
      <w:r>
        <w:t>Yu B, Yin H, Zhu Z. Spatio-Temporal Graph Convolutional Networks: A Deep Learning Framework for Traffic Forecasting in Transportation Networks[C]//Proceedings of the 27th International Joint Conference on Artificial Intelligence. 2018: 3634-3640. DOI/链接：</w:t>
      </w:r>
      <w:r>
        <w:fldChar w:fldCharType="begin"/>
      </w:r>
      <w:r>
        <w:instrText xml:space="preserve"> HYPERLINK "https://www.ijcai.org/proceedings/2018/0505.pdf" \h </w:instrText>
      </w:r>
      <w:r>
        <w:fldChar w:fldCharType="separate"/>
      </w:r>
      <w:r>
        <w:rPr>
          <w:color w:val="0563C1"/>
          <w:u w:val="single"/>
        </w:rPr>
        <w:t>https://www.ijcai.org/proceedings/2018/0505.pdf</w:t>
      </w:r>
      <w:r>
        <w:rPr>
          <w:color w:val="0563C1"/>
          <w:u w:val="single"/>
        </w:rPr>
        <w:fldChar w:fldCharType="end"/>
      </w:r>
      <w:bookmarkEnd w:id="32"/>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30784D08-1745-484A-9AD6-C6C48B441FF0}"/>
  </w:font>
  <w:font w:name="Arial">
    <w:panose1 w:val="020B0604020202020204"/>
    <w:charset w:val="01"/>
    <w:family w:val="swiss"/>
    <w:pitch w:val="default"/>
    <w:sig w:usb0="E0002EFF" w:usb1="C000785B" w:usb2="00000009" w:usb3="00000000" w:csb0="400001FF" w:csb1="FFFF0000"/>
    <w:embedRegular r:id="rId2" w:fontKey="{BCEDB603-ACB6-4BEF-AACE-0B39178889FB}"/>
  </w:font>
  <w:font w:name="黑体">
    <w:panose1 w:val="02010609060101010101"/>
    <w:charset w:val="86"/>
    <w:family w:val="auto"/>
    <w:pitch w:val="default"/>
    <w:sig w:usb0="800002BF" w:usb1="38CF7CFA" w:usb2="00000016" w:usb3="00000000" w:csb0="00040001" w:csb1="00000000"/>
    <w:embedRegular r:id="rId3" w:fontKey="{5BB79A24-5013-42E9-81B4-E50044DD5B23}"/>
  </w:font>
  <w:font w:name="Courier New">
    <w:panose1 w:val="02070309020205020404"/>
    <w:charset w:val="01"/>
    <w:family w:val="modern"/>
    <w:pitch w:val="default"/>
    <w:sig w:usb0="E0002EFF" w:usb1="C0007843" w:usb2="00000009" w:usb3="00000000" w:csb0="400001FF" w:csb1="FFFF0000"/>
    <w:embedRegular r:id="rId4" w:fontKey="{E30FBDAA-72F3-48DA-82BC-E1F66A264577}"/>
  </w:font>
  <w:font w:name="Symbol">
    <w:panose1 w:val="05050102010706020507"/>
    <w:charset w:val="02"/>
    <w:family w:val="roman"/>
    <w:pitch w:val="default"/>
    <w:sig w:usb0="00000000" w:usb1="00000000" w:usb2="00000000" w:usb3="00000000" w:csb0="80000000" w:csb1="00000000"/>
    <w:embedRegular r:id="rId5" w:fontKey="{7A9C10EE-A180-4730-B18A-97FAEFE21DA0}"/>
  </w:font>
  <w:font w:name="Calibri">
    <w:panose1 w:val="020F0502020204030204"/>
    <w:charset w:val="00"/>
    <w:family w:val="swiss"/>
    <w:pitch w:val="default"/>
    <w:sig w:usb0="E4002EFF" w:usb1="C200247B" w:usb2="00000009" w:usb3="00000000" w:csb0="200001FF" w:csb1="00000000"/>
    <w:embedRegular r:id="rId6" w:fontKey="{43420B74-BE4E-46BC-8BC0-4663BA55568B}"/>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embedRegular r:id="rId7" w:fontKey="{EAF39D7A-F1FB-4F8B-9A6A-8A60521B3763}"/>
  </w:font>
  <w:font w:name="华文楷体">
    <w:panose1 w:val="02010600040101010101"/>
    <w:charset w:val="86"/>
    <w:family w:val="auto"/>
    <w:pitch w:val="default"/>
    <w:sig w:usb0="00000287" w:usb1="080F0000" w:usb2="00000000" w:usb3="00000000" w:csb0="0004009F" w:csb1="DFD70000"/>
    <w:embedRegular r:id="rId8" w:fontKey="{7DB7676A-3D42-4605-8D67-5F7889C02477}"/>
  </w:font>
  <w:font w:name="微软雅黑">
    <w:panose1 w:val="020B0503020204020204"/>
    <w:charset w:val="86"/>
    <w:family w:val="swiss"/>
    <w:pitch w:val="default"/>
    <w:sig w:usb0="80000287" w:usb1="2ACF3C50" w:usb2="00000016" w:usb3="00000000" w:csb0="0004001F" w:csb1="00000000"/>
    <w:embedRegular r:id="rId9" w:fontKey="{3BC0C6AA-1725-48B1-968F-CBA326561A5B}"/>
  </w:font>
  <w:font w:name="Segoe UI">
    <w:panose1 w:val="020B0502040204020203"/>
    <w:charset w:val="00"/>
    <w:family w:val="auto"/>
    <w:pitch w:val="default"/>
    <w:sig w:usb0="E4002EFF" w:usb1="C000E47F" w:usb2="00000009" w:usb3="00000000" w:csb0="200001FF" w:csb1="00000000"/>
    <w:embedRegular r:id="rId10" w:fontKey="{83C1D0D9-68F0-463E-A09A-522FD789A82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9D129">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2778"/>
    </w:sdtPr>
    <w:sdtContent>
      <w:p w14:paraId="209AC240">
        <w:pPr>
          <w:pStyle w:val="15"/>
          <w:jc w:val="right"/>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3A32C909">
    <w:pPr>
      <w:pStyle w:val="1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890D6DC"/>
    <w:multiLevelType w:val="singleLevel"/>
    <w:tmpl w:val="6890D6DC"/>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1942"/>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175C3"/>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62B"/>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46C6D"/>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06922F2E"/>
    <w:rsid w:val="0E563606"/>
    <w:rsid w:val="193B7C0A"/>
    <w:rsid w:val="1E615CAD"/>
    <w:rsid w:val="23595A08"/>
    <w:rsid w:val="3FED2A64"/>
    <w:rsid w:val="403D4C49"/>
    <w:rsid w:val="4347668C"/>
    <w:rsid w:val="465746F8"/>
    <w:rsid w:val="539354E6"/>
    <w:rsid w:val="66CA19F5"/>
    <w:rsid w:val="6BDF047B"/>
    <w:rsid w:val="73D10C5E"/>
    <w:rsid w:val="79EDA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7"/>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2"/>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3"/>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4"/>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5"/>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6"/>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7"/>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8"/>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9"/>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1"/>
    <w:semiHidden/>
    <w:unhideWhenUsed/>
    <w:qFormat/>
    <w:uiPriority w:val="99"/>
    <w:rPr>
      <w:sz w:val="18"/>
      <w:szCs w:val="18"/>
    </w:rPr>
  </w:style>
  <w:style w:type="paragraph" w:styleId="15">
    <w:name w:val="footer"/>
    <w:basedOn w:val="1"/>
    <w:link w:val="30"/>
    <w:unhideWhenUsed/>
    <w:qFormat/>
    <w:uiPriority w:val="99"/>
    <w:pPr>
      <w:tabs>
        <w:tab w:val="center" w:pos="4153"/>
        <w:tab w:val="right" w:pos="8306"/>
      </w:tabs>
      <w:snapToGrid w:val="0"/>
      <w:jc w:val="left"/>
    </w:pPr>
    <w:rPr>
      <w:sz w:val="18"/>
      <w:szCs w:val="18"/>
    </w:rPr>
  </w:style>
  <w:style w:type="paragraph" w:styleId="16">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0">
    <w:name w:val="Normal (Web)"/>
    <w:basedOn w:val="1"/>
    <w:semiHidden/>
    <w:unhideWhenUsed/>
    <w:uiPriority w:val="99"/>
    <w:rPr>
      <w:sz w:val="24"/>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basedOn w:val="23"/>
    <w:unhideWhenUsed/>
    <w:qFormat/>
    <w:uiPriority w:val="99"/>
    <w:rPr>
      <w:color w:val="0000FF"/>
      <w:u w:val="single"/>
    </w:rPr>
  </w:style>
  <w:style w:type="paragraph" w:styleId="26">
    <w:name w:val="List Paragraph"/>
    <w:basedOn w:val="1"/>
    <w:qFormat/>
    <w:uiPriority w:val="34"/>
    <w:pPr>
      <w:ind w:firstLine="420" w:firstLineChars="200"/>
    </w:pPr>
  </w:style>
  <w:style w:type="character" w:customStyle="1" w:styleId="27">
    <w:name w:val="标题 1 字符"/>
    <w:basedOn w:val="23"/>
    <w:link w:val="2"/>
    <w:qFormat/>
    <w:uiPriority w:val="9"/>
    <w:rPr>
      <w:rFonts w:ascii="Arial" w:hAnsi="Arial" w:eastAsia="黑体"/>
      <w:bCs/>
      <w:kern w:val="44"/>
      <w:sz w:val="36"/>
      <w:szCs w:val="44"/>
      <w:lang w:val="zh-CN"/>
    </w:rPr>
  </w:style>
  <w:style w:type="paragraph" w:customStyle="1" w:styleId="2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9">
    <w:name w:val="页眉 字符"/>
    <w:basedOn w:val="23"/>
    <w:link w:val="16"/>
    <w:qFormat/>
    <w:uiPriority w:val="99"/>
    <w:rPr>
      <w:sz w:val="18"/>
      <w:szCs w:val="18"/>
    </w:rPr>
  </w:style>
  <w:style w:type="character" w:customStyle="1" w:styleId="30">
    <w:name w:val="页脚 字符"/>
    <w:basedOn w:val="23"/>
    <w:link w:val="15"/>
    <w:qFormat/>
    <w:uiPriority w:val="99"/>
    <w:rPr>
      <w:sz w:val="18"/>
      <w:szCs w:val="18"/>
    </w:rPr>
  </w:style>
  <w:style w:type="character" w:customStyle="1" w:styleId="31">
    <w:name w:val="批注框文本 字符"/>
    <w:basedOn w:val="23"/>
    <w:link w:val="14"/>
    <w:semiHidden/>
    <w:qFormat/>
    <w:uiPriority w:val="99"/>
    <w:rPr>
      <w:sz w:val="18"/>
      <w:szCs w:val="18"/>
    </w:rPr>
  </w:style>
  <w:style w:type="character" w:customStyle="1" w:styleId="32">
    <w:name w:val="标题 2 字符"/>
    <w:basedOn w:val="23"/>
    <w:link w:val="4"/>
    <w:qFormat/>
    <w:uiPriority w:val="9"/>
    <w:rPr>
      <w:rFonts w:ascii="Arial" w:hAnsi="Arial" w:eastAsia="黑体" w:cstheme="majorBidi"/>
      <w:bCs/>
      <w:sz w:val="30"/>
      <w:szCs w:val="32"/>
    </w:rPr>
  </w:style>
  <w:style w:type="character" w:customStyle="1" w:styleId="33">
    <w:name w:val="标题 3 字符"/>
    <w:basedOn w:val="23"/>
    <w:link w:val="5"/>
    <w:qFormat/>
    <w:uiPriority w:val="9"/>
    <w:rPr>
      <w:rFonts w:ascii="Arial" w:hAnsi="Arial" w:eastAsia="黑体"/>
      <w:bCs/>
      <w:sz w:val="28"/>
      <w:szCs w:val="32"/>
    </w:rPr>
  </w:style>
  <w:style w:type="character" w:customStyle="1" w:styleId="34">
    <w:name w:val="标题 4 字符"/>
    <w:basedOn w:val="23"/>
    <w:link w:val="6"/>
    <w:qFormat/>
    <w:uiPriority w:val="9"/>
    <w:rPr>
      <w:rFonts w:ascii="Arial" w:hAnsi="Arial" w:eastAsia="黑体" w:cstheme="majorBidi"/>
      <w:bCs/>
      <w:sz w:val="24"/>
      <w:szCs w:val="28"/>
    </w:rPr>
  </w:style>
  <w:style w:type="character" w:customStyle="1" w:styleId="35">
    <w:name w:val="标题 5 字符"/>
    <w:basedOn w:val="23"/>
    <w:link w:val="7"/>
    <w:qFormat/>
    <w:uiPriority w:val="9"/>
    <w:rPr>
      <w:rFonts w:ascii="Arial" w:hAnsi="Arial" w:eastAsia="黑体"/>
      <w:bCs/>
      <w:sz w:val="24"/>
      <w:szCs w:val="28"/>
    </w:rPr>
  </w:style>
  <w:style w:type="character" w:customStyle="1" w:styleId="36">
    <w:name w:val="标题 6 字符"/>
    <w:basedOn w:val="23"/>
    <w:link w:val="8"/>
    <w:qFormat/>
    <w:uiPriority w:val="9"/>
    <w:rPr>
      <w:rFonts w:ascii="Arial" w:hAnsi="Arial" w:eastAsia="黑体" w:cstheme="majorBidi"/>
      <w:bCs/>
      <w:sz w:val="24"/>
      <w:szCs w:val="24"/>
    </w:rPr>
  </w:style>
  <w:style w:type="character" w:customStyle="1" w:styleId="37">
    <w:name w:val="标题 7 字符"/>
    <w:basedOn w:val="23"/>
    <w:link w:val="9"/>
    <w:qFormat/>
    <w:uiPriority w:val="9"/>
    <w:rPr>
      <w:rFonts w:ascii="Arial" w:hAnsi="Arial" w:eastAsia="黑体"/>
      <w:bCs/>
      <w:sz w:val="24"/>
      <w:szCs w:val="24"/>
    </w:rPr>
  </w:style>
  <w:style w:type="character" w:customStyle="1" w:styleId="38">
    <w:name w:val="标题 8 字符"/>
    <w:basedOn w:val="23"/>
    <w:link w:val="10"/>
    <w:qFormat/>
    <w:uiPriority w:val="9"/>
    <w:rPr>
      <w:rFonts w:ascii="Arial" w:hAnsi="Arial" w:eastAsia="黑体" w:cstheme="majorBidi"/>
      <w:sz w:val="24"/>
      <w:szCs w:val="24"/>
    </w:rPr>
  </w:style>
  <w:style w:type="character" w:customStyle="1" w:styleId="39">
    <w:name w:val="标题 9 字符"/>
    <w:basedOn w:val="23"/>
    <w:link w:val="11"/>
    <w:qFormat/>
    <w:uiPriority w:val="9"/>
    <w:rPr>
      <w:rFonts w:ascii="Arial" w:hAnsi="Arial" w:eastAsia="黑体" w:cstheme="majorBidi"/>
      <w:sz w:val="24"/>
      <w:szCs w:val="21"/>
    </w:rPr>
  </w:style>
  <w:style w:type="paragraph" w:customStyle="1" w:styleId="40">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1">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2739</Words>
  <Characters>3033</Characters>
  <Lines>19</Lines>
  <Paragraphs>5</Paragraphs>
  <TotalTime>8</TotalTime>
  <ScaleCrop>false</ScaleCrop>
  <LinksUpToDate>false</LinksUpToDate>
  <CharactersWithSpaces>3299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2025-03-18T00:35:00Z</dcterms:created>
  <dc:creator>dengxifeng@pku.edu.cn</dc:creator>
  <cp:lastModifiedBy>WPS_1694005794</cp:lastModifiedBy>
  <cp:lastPrinted>2019-04-15T14:27:00Z</cp:lastPrinted>
  <dcterms:modified xsi:type="dcterms:W3CDTF">2026-04-13T11:04:31Z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eyJoZGlkIjoiMTVjMGYwZDg3YjViMjk4OWIxY2IzN2EyMmRlMDlhZjMiLCJ1c2VySWQiOiIxNTI5MTI0NjU4In0=</vt:lpwstr>
  </property>
  <property fmtid="{D5CDD505-2E9C-101B-9397-08002B2CF9AE}" pid="3" name="KSOProductBuildVer">
    <vt:lpwstr>2052-12.1.0.25225</vt:lpwstr>
  </property>
  <property fmtid="{D5CDD505-2E9C-101B-9397-08002B2CF9AE}" pid="4" name="ICV">
    <vt:lpwstr>F04D6DAB00DF4F96802763B4A0B6EDDD_12</vt:lpwstr>
  </property>
</Properties>
</file>