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02-DATABASE</w:t>
      </w:r>
    </w:p>
    <w:bookmarkStart w:id="20" w:name="database"/>
    <w:p>
      <w:pPr>
        <w:pStyle w:val="Heading1"/>
      </w:pPr>
      <w:r>
        <w:t xml:space="preserve">02 — Database</w:t>
      </w:r>
    </w:p>
    <w:p>
      <w:pPr>
        <w:pStyle w:val="BlockText"/>
      </w:pPr>
      <w:r>
        <w:t xml:space="preserve">Postgres + Drizzle ORM (same stack as jiwira-portfolio). This schema is the contract</w:t>
      </w:r>
      <w:r>
        <w:t xml:space="preserve"> </w:t>
      </w:r>
      <w:r>
        <w:t xml:space="preserve">between the website and the agents — define it first, change it deliberately.</w:t>
      </w:r>
    </w:p>
    <w:bookmarkStart w:id="9" w:name="why-postgres-drizzle"/>
    <w:p>
      <w:pPr>
        <w:pStyle w:val="Heading2"/>
      </w:pPr>
      <w:r>
        <w:t xml:space="preserve">1. Why Postgres + Drizzle</w:t>
      </w:r>
    </w:p>
    <w:p>
      <w:pPr>
        <w:pStyle w:val="Compact"/>
        <w:numPr>
          <w:ilvl w:val="0"/>
          <w:numId w:val="1001"/>
        </w:numPr>
      </w:pPr>
      <w:r>
        <w:t xml:space="preserve">Consistency with the portfolio (</w:t>
      </w:r>
      <w:r>
        <w:rPr>
          <w:rStyle w:val="VerbatimChar"/>
        </w:rPr>
        <w:t xml:space="preserve">drizzle-orm</w:t>
      </w:r>
      <w:r>
        <w:t xml:space="preserve">,</w:t>
      </w:r>
      <w:r>
        <w:t xml:space="preserve"> </w:t>
      </w:r>
      <w:r>
        <w:rPr>
          <w:rStyle w:val="VerbatimChar"/>
        </w:rPr>
        <w:t xml:space="preserve">pg</w:t>
      </w:r>
      <w:r>
        <w:t xml:space="preserve">, migrations already a known tool).</w:t>
      </w:r>
    </w:p>
    <w:p>
      <w:pPr>
        <w:pStyle w:val="Compact"/>
        <w:numPr>
          <w:ilvl w:val="0"/>
          <w:numId w:val="1001"/>
        </w:numPr>
      </w:pPr>
      <w:r>
        <w:t xml:space="preserve">Postgres handles the JSON, arrays, and (optionally)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 </w:t>
      </w:r>
      <w:r>
        <w:t xml:space="preserve">we need.</w:t>
      </w:r>
    </w:p>
    <w:p>
      <w:pPr>
        <w:pStyle w:val="Compact"/>
        <w:numPr>
          <w:ilvl w:val="0"/>
          <w:numId w:val="1001"/>
        </w:numPr>
      </w:pPr>
      <w:r>
        <w:t xml:space="preserve">Drizzle gives type-safe queries that flow into tRPC end-to-end.</w:t>
      </w:r>
    </w:p>
    <w:bookmarkEnd w:id="9"/>
    <w:bookmarkStart w:id="16" w:name="tables"/>
    <w:p>
      <w:pPr>
        <w:pStyle w:val="Heading2"/>
      </w:pPr>
      <w:r>
        <w:t xml:space="preserve">2. Tables</w:t>
      </w:r>
    </w:p>
    <w:bookmarkStart w:id="10" w:name="articles-raw-ingested-news"/>
    <w:p>
      <w:pPr>
        <w:pStyle w:val="Heading3"/>
      </w:pPr>
      <w:r>
        <w:rPr>
          <w:rStyle w:val="VerbatimChar"/>
        </w:rPr>
        <w:t xml:space="preserve">articles</w:t>
      </w:r>
      <w:r>
        <w:t xml:space="preserve"> </w:t>
      </w:r>
      <w:r>
        <w:t xml:space="preserve">— raw ingested news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226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text unique</w:t>
            </w:r>
          </w:p>
        </w:tc>
        <w:tc>
          <w:tcPr/>
          <w:p>
            <w:pPr>
              <w:pStyle w:val="Compact"/>
            </w:pPr>
            <w:r>
              <w:t xml:space="preserve">dedupe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outlet name, e.g. </w:t>
            </w:r>
            <w:r>
              <w:t xml:space="preserve">“Reuters”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text null</w:t>
            </w:r>
          </w:p>
        </w:tc>
        <w:tc>
          <w:tcPr/>
          <w:p>
            <w:pPr>
              <w:pStyle w:val="Compact"/>
            </w:pPr>
            <w:r>
              <w:t xml:space="preserve">origin country if 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fetched_at</w:t>
            </w:r>
          </w:p>
        </w:tc>
        <w:tc>
          <w:tcPr/>
          <w:p>
            <w:pPr>
              <w:pStyle w:val="Compact"/>
            </w:pPr>
            <w:r>
              <w:t xml:space="preserve">timestamptz default now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text null</w:t>
            </w:r>
          </w:p>
        </w:tc>
        <w:tc>
          <w:tcPr/>
          <w:p>
            <w:pPr>
              <w:pStyle w:val="Compact"/>
            </w:pPr>
            <w:r>
              <w:t xml:space="preserve">short derived summary; full body is fetched + analyzed ephemerally, never stored (D-013)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text null</w:t>
            </w:r>
          </w:p>
        </w:tc>
        <w:tc>
          <w:tcPr/>
          <w:p>
            <w:pPr>
              <w:pStyle w:val="Compact"/>
            </w:pPr>
            <w:r>
              <w:t xml:space="preserve">byline when present; enables future author-level reputation (D-014)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vector(768) null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nomic-embed-text</w:t>
            </w:r>
            <w:r>
              <w:t xml:space="preserve">; via</w:t>
            </w:r>
            <w:r>
              <w:t xml:space="preserve"> </w:t>
            </w:r>
            <w:r>
              <w:rPr>
                <w:rStyle w:val="VerbatimChar"/>
              </w:rPr>
              <w:t xml:space="preserve">pgvector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cluster_id</w:t>
            </w:r>
          </w:p>
        </w:tc>
        <w:tc>
          <w:tcPr/>
          <w:p>
            <w:pPr>
              <w:pStyle w:val="Compact"/>
            </w:pPr>
            <w:r>
              <w:t xml:space="preserve">uuid null FK →</w:t>
            </w:r>
            <w:r>
              <w:t xml:space="preserve"> </w:t>
            </w:r>
            <w:r>
              <w:rPr>
                <w:rStyle w:val="VerbatimChar"/>
              </w:rPr>
              <w:t xml:space="preserve">stories.id</w:t>
            </w:r>
          </w:p>
        </w:tc>
        <w:tc>
          <w:tcPr/>
          <w:p>
            <w:pPr>
              <w:pStyle w:val="Compact"/>
            </w:pPr>
            <w:r>
              <w:t xml:space="preserve">set by the clustering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lean</w:t>
            </w:r>
          </w:p>
        </w:tc>
        <w:tc>
          <w:tcPr/>
          <w:p>
            <w:pPr>
              <w:pStyle w:val="Compact"/>
            </w:pPr>
            <w:r>
              <w:t xml:space="preserve">text null</w:t>
            </w:r>
          </w:p>
        </w:tc>
        <w:tc>
          <w:tcPr/>
          <w:p>
            <w:pPr>
              <w:pStyle w:val="Compact"/>
            </w:pPr>
            <w:r>
              <w:t xml:space="preserve">AI assessment:</w:t>
            </w:r>
            <w:r>
              <w:t xml:space="preserve"> </w:t>
            </w:r>
            <w:r>
              <w:rPr>
                <w:rStyle w:val="VerbatimChar"/>
              </w:rPr>
              <w:t xml:space="preserve">left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center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lean_confidence</w:t>
            </w:r>
          </w:p>
        </w:tc>
        <w:tc>
          <w:tcPr/>
          <w:p>
            <w:pPr>
              <w:pStyle w:val="Compact"/>
            </w:pPr>
            <w:r>
              <w:t xml:space="preserve">real null</w:t>
            </w:r>
          </w:p>
        </w:tc>
        <w:tc>
          <w:tcPr/>
          <w:p>
            <w:pPr>
              <w:pStyle w:val="Compact"/>
            </w:pPr>
            <w:r>
              <w:t xml:space="preserve">0–1, the model’s stated confidence</w:t>
            </w:r>
          </w:p>
        </w:tc>
      </w:tr>
    </w:tbl>
    <w:p>
      <w:pPr>
        <w:pStyle w:val="BlockText"/>
      </w:pPr>
      <w:r>
        <w:t xml:space="preserve">We store a</w:t>
      </w:r>
      <w:r>
        <w:t xml:space="preserve"> </w:t>
      </w:r>
      <w:r>
        <w:rPr>
          <w:b/>
          <w:bCs/>
        </w:rPr>
        <w:t xml:space="preserve">summary</w:t>
      </w:r>
      <w:r>
        <w:t xml:space="preserve">, not full article text — respects source copyright and keeps the</w:t>
      </w:r>
      <w:r>
        <w:t xml:space="preserve"> </w:t>
      </w:r>
      <w:r>
        <w:t xml:space="preserve">DB lean. The original is always linked. The crew fetches the full body</w:t>
      </w:r>
      <w:r>
        <w:t xml:space="preserve"> </w:t>
      </w:r>
      <w:r>
        <w:rPr>
          <w:i/>
          <w:iCs/>
        </w:rPr>
        <w:t xml:space="preserve">ephemerally</w:t>
      </w:r>
      <w:r>
        <w:t xml:space="preserve"> </w:t>
      </w:r>
      <w:r>
        <w:t xml:space="preserve">at</w:t>
      </w:r>
      <w:r>
        <w:t xml:space="preserve"> </w:t>
      </w:r>
      <w:r>
        <w:t xml:space="preserve">analysis time (D-013); it is never persisted.</w:t>
      </w:r>
    </w:p>
    <w:bookmarkEnd w:id="10"/>
    <w:bookmarkStart w:id="11" w:name="sources-outlet-reputation-memory-d-014"/>
    <w:p>
      <w:pPr>
        <w:pStyle w:val="Heading3"/>
      </w:pPr>
      <w:r>
        <w:rPr>
          <w:rStyle w:val="VerbatimChar"/>
        </w:rPr>
        <w:t xml:space="preserve">sources</w:t>
      </w:r>
      <w:r>
        <w:t xml:space="preserve"> </w:t>
      </w:r>
      <w:r>
        <w:t xml:space="preserve">— outlet reputation memory (D-014)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226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  <w:r>
              <w:t xml:space="preserve">outlet name; matches</w:t>
            </w:r>
            <w:r>
              <w:t xml:space="preserve"> </w:t>
            </w:r>
            <w:r>
              <w:rPr>
                <w:rStyle w:val="VerbatimChar"/>
              </w:rPr>
              <w:t xml:space="preserve">articles.source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article_count</w:t>
            </w:r>
          </w:p>
        </w:tc>
        <w:tc>
          <w:tcPr/>
          <w:p>
            <w:pPr>
              <w:pStyle w:val="Compact"/>
            </w:pPr>
            <w:r>
              <w:t xml:space="preserve">int default 0</w:t>
            </w:r>
          </w:p>
        </w:tc>
        <w:tc>
          <w:tcPr/>
          <w:p>
            <w:pPr>
              <w:pStyle w:val="Compact"/>
            </w:pPr>
            <w:r>
              <w:t xml:space="preserve">articles seen from this outlet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lean_left</w:t>
            </w:r>
          </w:p>
        </w:tc>
        <w:tc>
          <w:tcPr/>
          <w:p>
            <w:pPr>
              <w:pStyle w:val="Compact"/>
            </w:pPr>
            <w:r>
              <w:t xml:space="preserve">int default 0</w:t>
            </w:r>
          </w:p>
        </w:tc>
        <w:tc>
          <w:tcPr/>
          <w:p>
            <w:pPr>
              <w:pStyle w:val="Compact"/>
            </w:pPr>
            <w:r>
              <w:t xml:space="preserve">running tally of left-rated articles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lean_center</w:t>
            </w:r>
          </w:p>
        </w:tc>
        <w:tc>
          <w:tcPr/>
          <w:p>
            <w:pPr>
              <w:pStyle w:val="Compact"/>
            </w:pPr>
            <w:r>
              <w:t xml:space="preserve">int default 0</w:t>
            </w:r>
          </w:p>
        </w:tc>
        <w:tc>
          <w:tcPr/>
          <w:p>
            <w:pPr>
              <w:pStyle w:val="Compact"/>
            </w:pPr>
            <w:r>
              <w:t xml:space="preserve">running tally of center-rated articles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lean_right</w:t>
            </w:r>
          </w:p>
        </w:tc>
        <w:tc>
          <w:tcPr/>
          <w:p>
            <w:pPr>
              <w:pStyle w:val="Compact"/>
            </w:pPr>
            <w:r>
              <w:t xml:space="preserve">int default 0</w:t>
            </w:r>
          </w:p>
        </w:tc>
        <w:tc>
          <w:tcPr/>
          <w:p>
            <w:pPr>
              <w:pStyle w:val="Compact"/>
            </w:pPr>
            <w:r>
              <w:t xml:space="preserve">running tally of right-rated articles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divergence_avg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avg distance of this outlet’s framing from the neutral synthesis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0–1 running reliability estimate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 default now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The Bias agent reads this as a prior (</w:t>
      </w:r>
      <w:r>
        <w:t xml:space="preserve">“this outlet historically leans X across N</w:t>
      </w:r>
      <w:r>
        <w:t xml:space="preserve"> </w:t>
      </w:r>
      <w:r>
        <w:t xml:space="preserve">articles”</w:t>
      </w:r>
      <w:r>
        <w:t xml:space="preserve">) and updates it after each analysis. Added via migration</w:t>
      </w:r>
      <w:r>
        <w:t xml:space="preserve"> </w:t>
      </w:r>
      <w:r>
        <w:rPr>
          <w:rStyle w:val="VerbatimChar"/>
        </w:rPr>
        <w:t xml:space="preserve">0002</w:t>
      </w:r>
      <w:r>
        <w:t xml:space="preserve"> </w:t>
      </w:r>
      <w:r>
        <w:t xml:space="preserve">in Plan 2.</w:t>
      </w:r>
      <w:r>
        <w:t xml:space="preserve"> </w:t>
      </w:r>
      <w:r>
        <w:t xml:space="preserve">Author-level reputation is deferred (D-014).</w:t>
      </w:r>
    </w:p>
    <w:bookmarkEnd w:id="11"/>
    <w:bookmarkStart w:id="12" w:name="stories-one-per-clustered-topic"/>
    <w:p>
      <w:pPr>
        <w:pStyle w:val="Heading3"/>
      </w:pPr>
      <w:r>
        <w:rPr>
          <w:rStyle w:val="VerbatimChar"/>
        </w:rPr>
        <w:t xml:space="preserve">stories</w:t>
      </w:r>
      <w:r>
        <w:t xml:space="preserve"> </w:t>
      </w:r>
      <w:r>
        <w:t xml:space="preserve">— one per clustered topic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226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short canonical title for the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first_seen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number of articles in the cluster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lean_spread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{"left":5,"center":6,"right":3}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neutral_md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AI-neutral synthesis (markdown)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beginner_md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“what this means for you”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pro_md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game theory + market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sentiment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bullish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neutral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bearish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impact_score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0–100: economic impact on everyday life (D-012); drives ranking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impact_summary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one-line</w:t>
            </w:r>
            <w:r>
              <w:t xml:space="preserve"> </w:t>
            </w:r>
            <w:r>
              <w:t xml:space="preserve">“why this matters to you”</w:t>
            </w:r>
            <w:r>
              <w:t xml:space="preserve"> </w:t>
            </w:r>
            <w:r>
              <w:t xml:space="preserve">impact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affected_regions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  <w:r>
              <w:t xml:space="preserve">regions the story economically touches, e.g. </w:t>
            </w:r>
            <w:r>
              <w:rPr>
                <w:rStyle w:val="VerbatimChar"/>
              </w:rPr>
              <w:t xml:space="preserve">{Indonesia,Global}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region_relevance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0–1: proximity to the configured</w:t>
            </w:r>
            <w:r>
              <w:t xml:space="preserve"> </w:t>
            </w:r>
            <w:r>
              <w:rPr>
                <w:rStyle w:val="VerbatimChar"/>
              </w:rPr>
              <w:t xml:space="preserve">home_region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 default now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Relevance ranking (D-012):</w:t>
      </w:r>
      <w:r>
        <w:t xml:space="preserve"> </w:t>
      </w:r>
      <w:r>
        <w:t xml:space="preserve">the home page orders stories by</w:t>
      </w:r>
      <w:r>
        <w:t xml:space="preserve"> </w:t>
      </w:r>
      <w:r>
        <w:rPr>
          <w:rStyle w:val="VerbatimChar"/>
        </w:rPr>
        <w:t xml:space="preserve">impact_score × region_relevance</w:t>
      </w:r>
      <w:r>
        <w:t xml:space="preserve">, not recency. Low-impact noise (celebrity/sports) is</w:t>
      </w:r>
      <w:r>
        <w:t xml:space="preserve"> </w:t>
      </w:r>
      <w:r>
        <w:t xml:space="preserve">scored near 0 and filtered by default.</w:t>
      </w:r>
      <w:r>
        <w:t xml:space="preserve"> </w:t>
      </w:r>
      <w:r>
        <w:rPr>
          <w:rStyle w:val="VerbatimChar"/>
        </w:rPr>
        <w:t xml:space="preserve">home_region</w:t>
      </w:r>
      <w:r>
        <w:t xml:space="preserve"> </w:t>
      </w:r>
      <w:r>
        <w:t xml:space="preserve">lives in engine config (default</w:t>
      </w:r>
      <w:r>
        <w:t xml:space="preserve"> </w:t>
      </w:r>
      <w:r>
        <w:rPr>
          <w:rStyle w:val="VerbatimChar"/>
        </w:rPr>
        <w:t xml:space="preserve">Indonesia</w:t>
      </w:r>
      <w:r>
        <w:t xml:space="preserve">), not the DB — so fixed → geo-detected → user-chosen is a config change.</w:t>
      </w:r>
    </w:p>
    <w:bookmarkEnd w:id="12"/>
    <w:bookmarkStart w:id="13" w:name="briefings-one-per-day"/>
    <w:p>
      <w:pPr>
        <w:pStyle w:val="Heading3"/>
      </w:pPr>
      <w:r>
        <w:rPr>
          <w:rStyle w:val="VerbatimChar"/>
        </w:rPr>
        <w:t xml:space="preserve">briefings</w:t>
      </w:r>
      <w:r>
        <w:t xml:space="preserve"> </w:t>
      </w:r>
      <w:r>
        <w:t xml:space="preserve">— one per day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 unique</w:t>
            </w:r>
          </w:p>
        </w:tc>
        <w:tc>
          <w:tcPr/>
          <w:p>
            <w:pPr>
              <w:pStyle w:val="Compact"/>
            </w:pPr>
            <w:r>
              <w:t xml:space="preserve">the briefing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headline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overall_sentiment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bullish</w:t>
            </w:r>
            <w:r>
              <w:t xml:space="preserve">/</w:t>
            </w:r>
            <w:r>
              <w:rPr>
                <w:rStyle w:val="VerbatimChar"/>
              </w:rPr>
              <w:t xml:space="preserve">neutral</w:t>
            </w:r>
            <w:r>
              <w:t xml:space="preserve">/</w:t>
            </w:r>
            <w:r>
              <w:rPr>
                <w:rStyle w:val="VerbatimChar"/>
              </w:rPr>
              <w:t xml:space="preserve">bearish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beginner_md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pro_md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story_ids</w:t>
            </w:r>
          </w:p>
        </w:tc>
        <w:tc>
          <w:tcPr/>
          <w:p>
            <w:pPr>
              <w:pStyle w:val="Compact"/>
            </w:pPr>
            <w:r>
              <w:t xml:space="preserve">uuid[]</w:t>
            </w:r>
          </w:p>
        </w:tc>
        <w:tc>
          <w:tcPr/>
          <w:p>
            <w:pPr>
              <w:pStyle w:val="Compact"/>
            </w:pPr>
            <w:r>
              <w:t xml:space="preserve">the stories featured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  <w:r>
              <w:t xml:space="preserve">/</w:t>
            </w:r>
            <w:r>
              <w:rPr>
                <w:rStyle w:val="VerbatimChar"/>
              </w:rPr>
              <w:t xml:space="preserve">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 default now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X24f77eea2447713c6a87b0714246bd0915ac071"/>
    <w:p>
      <w:pPr>
        <w:pStyle w:val="Heading3"/>
      </w:pPr>
      <w:r>
        <w:rPr>
          <w:rStyle w:val="VerbatimChar"/>
        </w:rPr>
        <w:t xml:space="preserve">questions</w:t>
      </w:r>
      <w:r>
        <w:t xml:space="preserve"> </w:t>
      </w:r>
      <w:r>
        <w:t xml:space="preserve">— on-demand analysis (the poller’s queue)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226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user input (length-capped, sanitized)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→</w:t>
            </w:r>
            <w:r>
              <w:rPr>
                <w:rStyle w:val="VerbatimChar"/>
              </w:rPr>
              <w:t xml:space="preserve">processing</w:t>
            </w:r>
            <w:r>
              <w:t xml:space="preserve">→</w:t>
            </w:r>
            <w:r>
              <w:rPr>
                <w:rStyle w:val="VerbatimChar"/>
              </w:rPr>
              <w:t xml:space="preserve">done</w:t>
            </w:r>
            <w:r>
              <w:t xml:space="preserve">→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beginner_md</w:t>
            </w:r>
          </w:p>
        </w:tc>
        <w:tc>
          <w:tcPr/>
          <w:p>
            <w:pPr>
              <w:pStyle w:val="Compact"/>
            </w:pPr>
            <w:r>
              <w:t xml:space="preserve">text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pro_md</w:t>
            </w:r>
          </w:p>
        </w:tc>
        <w:tc>
          <w:tcPr/>
          <w:p>
            <w:pPr>
              <w:pStyle w:val="Compact"/>
            </w:pPr>
            <w:r>
              <w:t xml:space="preserve">text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story_id</w:t>
            </w:r>
          </w:p>
        </w:tc>
        <w:tc>
          <w:tcPr/>
          <w:p>
            <w:pPr>
              <w:pStyle w:val="Compact"/>
            </w:pPr>
            <w:r>
              <w:t xml:space="preserve">uuid null FK</w:t>
            </w:r>
          </w:p>
        </w:tc>
        <w:tc>
          <w:tcPr/>
          <w:p>
            <w:pPr>
              <w:pStyle w:val="Compact"/>
            </w:pPr>
            <w:r>
              <w:t xml:space="preserve">the cluster built for this question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text null</w:t>
            </w:r>
          </w:p>
        </w:tc>
        <w:tc>
          <w:tcPr/>
          <w:p>
            <w:pPr>
              <w:pStyle w:val="Compact"/>
            </w:pPr>
            <w:r>
              <w:t xml:space="preserve">populated on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client_hash</w:t>
            </w:r>
          </w:p>
        </w:tc>
        <w:tc>
          <w:tcPr/>
          <w:p>
            <w:pPr>
              <w:pStyle w:val="Compact"/>
            </w:pPr>
            <w:r>
              <w:t xml:space="preserve">text null</w:t>
            </w:r>
          </w:p>
        </w:tc>
        <w:tc>
          <w:tcPr/>
          <w:p>
            <w:pPr>
              <w:pStyle w:val="Compact"/>
            </w:pPr>
            <w:r>
              <w:t xml:space="preserve">salted hash of IP for rate limiting (not the 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 default now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processed_at</w:t>
            </w:r>
          </w:p>
        </w:tc>
        <w:tc>
          <w:tcPr/>
          <w:p>
            <w:pPr>
              <w:pStyle w:val="Compact"/>
            </w:pPr>
            <w:r>
              <w:t xml:space="preserve">timestamptz 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agent_runs-optional-developer-view"/>
    <w:p>
      <w:pPr>
        <w:pStyle w:val="Heading3"/>
      </w:pPr>
      <w:r>
        <w:rPr>
          <w:rStyle w:val="VerbatimChar"/>
        </w:rPr>
        <w:t xml:space="preserve">agent_runs</w:t>
      </w:r>
      <w:r>
        <w:t xml:space="preserve"> </w:t>
      </w:r>
      <w:r>
        <w:rPr>
          <w:i/>
          <w:iCs/>
        </w:rPr>
        <w:t xml:space="preserve">(optional, developer view)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briefing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question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the briefing/question it belongs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phoenix_trace_url</w:t>
            </w:r>
          </w:p>
        </w:tc>
        <w:tc>
          <w:tcPr/>
          <w:p>
            <w:pPr>
              <w:pStyle w:val="Compact"/>
            </w:pPr>
            <w:r>
              <w:t xml:space="preserve">text null</w:t>
            </w:r>
          </w:p>
        </w:tc>
        <w:tc>
          <w:tcPr/>
          <w:p>
            <w:pPr>
              <w:pStyle w:val="Compact"/>
            </w:pPr>
            <w:r>
              <w:t xml:space="preserve">link to the trace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</w:t>
            </w:r>
          </w:p>
        </w:tc>
        <w:tc>
          <w:tcPr/>
          <w:p>
            <w:pPr>
              <w:pStyle w:val="Compact"/>
            </w:pPr>
            <w:r>
              <w:t xml:space="preserve">int null</w:t>
            </w:r>
          </w:p>
        </w:tc>
        <w:tc>
          <w:tcPr/>
          <w:p>
            <w:pPr>
              <w:pStyle w:val="Compact"/>
            </w:pPr>
            <w:r>
              <w:t xml:space="preserve">for cost/usage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duration_ms</w:t>
            </w:r>
          </w:p>
        </w:tc>
        <w:tc>
          <w:tcPr/>
          <w:p>
            <w:pPr>
              <w:pStyle w:val="Compact"/>
            </w:pPr>
            <w:r>
              <w:t xml:space="preserve">int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 default now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End w:id="16"/>
    <w:bookmarkStart w:id="17" w:name="status-lifecycles"/>
    <w:p>
      <w:pPr>
        <w:pStyle w:val="Heading2"/>
      </w:pPr>
      <w:r>
        <w:t xml:space="preserve">3. Status lifecycles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Question: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(site inserts) →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 </w:t>
      </w:r>
      <w:r>
        <w:t xml:space="preserve">(poller claims it) →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(answer written) or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(message written). The site polls this field.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Briefing: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(crew writing) →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(visible on the site).</w:t>
      </w:r>
    </w:p>
    <w:p>
      <w:pPr>
        <w:pStyle w:val="BlockText"/>
      </w:pPr>
      <w:r>
        <w:t xml:space="preserve">The poller claims a row atomically (</w:t>
      </w:r>
      <w:r>
        <w:rPr>
          <w:rStyle w:val="VerbatimChar"/>
        </w:rPr>
        <w:t xml:space="preserve">UPDATE ... SET status='processing' WHERE status='pending' ... RETURNING</w:t>
      </w:r>
      <w:r>
        <w:t xml:space="preserve">) so two runners never grab the same question.</w:t>
      </w:r>
    </w:p>
    <w:bookmarkEnd w:id="17"/>
    <w:bookmarkStart w:id="18" w:name="pgvector-decision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 </w:t>
      </w:r>
      <w:r>
        <w:t xml:space="preserve">decision</w:t>
      </w:r>
    </w:p>
    <w:p>
      <w:pPr>
        <w:pStyle w:val="FirstParagraph"/>
      </w:pPr>
      <w:r>
        <w:t xml:space="preserve">Clustering needs vector similarity. Options: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  <w:b/>
          <w:bCs/>
        </w:rPr>
        <w:t xml:space="preserve">pgvector</w:t>
      </w:r>
      <w:r>
        <w:rPr>
          <w:b/>
          <w:bCs/>
        </w:rPr>
        <w:t xml:space="preserve"> </w:t>
      </w:r>
      <w:r>
        <w:rPr>
          <w:b/>
          <w:bCs/>
        </w:rPr>
        <w:t xml:space="preserve">extension</w:t>
      </w:r>
      <w:r>
        <w:t xml:space="preserve"> </w:t>
      </w:r>
      <w:r>
        <w:t xml:space="preserve">— store embeddings in Postgres, cluster with SQL distance.</w:t>
      </w:r>
      <w:r>
        <w:t xml:space="preserve"> </w:t>
      </w:r>
      <w:r>
        <w:rPr>
          <w:i/>
          <w:iCs/>
        </w:rPr>
        <w:t xml:space="preserve">Chosen</w:t>
      </w:r>
      <w:r>
        <w:t xml:space="preserve"> </w:t>
      </w:r>
      <w:r>
        <w:t xml:space="preserve">— one datastore, simple, fits the scale (hundreds of articles/day).</w:t>
      </w:r>
      <w:r>
        <w:t xml:space="preserve"> </w:t>
      </w:r>
      <w:r>
        <w:t xml:space="preserve">2. In-memory clustering in Python each run — fine too, but loses persistence/queryability.</w:t>
      </w:r>
    </w:p>
    <w:p>
      <w:pPr>
        <w:pStyle w:val="BodyText"/>
      </w:pPr>
      <w:r>
        <w:t xml:space="preserve">We use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 </w:t>
      </w:r>
      <w:r>
        <w:t xml:space="preserve">column; if the extension is unavailable at first,</w:t>
      </w:r>
      <w:r>
        <w:t xml:space="preserve"> </w:t>
      </w:r>
      <w:r>
        <w:t xml:space="preserve">the fallback is in-Python clustering writing only</w:t>
      </w:r>
      <w:r>
        <w:t xml:space="preserve"> </w:t>
      </w:r>
      <w:r>
        <w:rPr>
          <w:rStyle w:val="VerbatimChar"/>
        </w:rPr>
        <w:t xml:space="preserve">cluster_id</w:t>
      </w:r>
      <w:r>
        <w:t xml:space="preserve"> </w:t>
      </w:r>
      <w:r>
        <w:t xml:space="preserve">back. See</w:t>
      </w:r>
      <w:r>
        <w:t xml:space="preserve"> </w:t>
      </w:r>
      <w:r>
        <w:rPr>
          <w:rStyle w:val="VerbatimChar"/>
        </w:rPr>
        <w:t xml:space="preserve">06-DECISIONS.md</w:t>
      </w:r>
      <w:r>
        <w:t xml:space="preserve"> </w:t>
      </w:r>
      <w:r>
        <w:t xml:space="preserve">D-004.</w:t>
      </w:r>
    </w:p>
    <w:bookmarkEnd w:id="18"/>
    <w:bookmarkStart w:id="19" w:name="indexes-planned"/>
    <w:p>
      <w:pPr>
        <w:pStyle w:val="Heading2"/>
      </w:pPr>
      <w:r>
        <w:t xml:space="preserve">5. Indexes (planned)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articles(url)</w:t>
      </w:r>
      <w:r>
        <w:t xml:space="preserve"> </w:t>
      </w:r>
      <w:r>
        <w:t xml:space="preserve">unique — dedupe.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articles(cluster_id)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articles(published_at)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briefings(date)</w:t>
      </w:r>
      <w:r>
        <w:t xml:space="preserve"> </w:t>
      </w:r>
      <w:r>
        <w:t xml:space="preserve">unique.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questions(status, created_at)</w:t>
      </w:r>
      <w:r>
        <w:t xml:space="preserve"> </w:t>
      </w:r>
      <w:r>
        <w:t xml:space="preserve">— the poller’s hot path.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articles</w:t>
      </w:r>
      <w:r>
        <w:t xml:space="preserve"> </w:t>
      </w:r>
      <w:r>
        <w:t xml:space="preserve">ivfflat index on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 </w:t>
      </w:r>
      <w:r>
        <w:t xml:space="preserve">is used.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02-DATABASE</dc:title>
  <dc:creator/>
  <cp:keywords/>
  <dcterms:created xsi:type="dcterms:W3CDTF">2026-06-13T15:12:23Z</dcterms:created>
  <dcterms:modified xsi:type="dcterms:W3CDTF">2026-06-13T15:12:23Z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