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06-DECISIONS</w:t>
      </w:r>
    </w:p>
    <w:bookmarkStart w:id="20" w:name="decision-log-problems-solutions"/>
    <w:p>
      <w:pPr>
        <w:pStyle w:val="Heading1"/>
      </w:pPr>
      <w:r>
        <w:t xml:space="preserve">06 — Decision Log (problems &amp; solutions)</w:t>
      </w:r>
    </w:p>
    <w:p>
      <w:pPr>
        <w:pStyle w:val="BlockText"/>
      </w:pPr>
      <w:r>
        <w:t xml:space="preserve">Lightweight ADR-style record: each decision, the problem, the choice, and the</w:t>
      </w:r>
      <w:r>
        <w:t xml:space="preserve"> </w:t>
      </w:r>
      <w:r>
        <w:t xml:space="preserve">alternatives rejected. New decisions are appended here as the project evolves.</w:t>
      </w:r>
    </w:p>
    <w:p>
      <w:r>
        <w:pict>
          <v:rect style="width:0;height:1.5pt" o:hralign="center" o:hrstd="t" o:hr="t"/>
        </w:pict>
      </w:r>
    </w:p>
    <w:bookmarkStart w:id="9" w:name="Xb3735eadbad92bbdb9717be25bd0097f31fc878"/>
    <w:p>
      <w:pPr>
        <w:pStyle w:val="Heading3"/>
      </w:pPr>
      <w:r>
        <w:t xml:space="preserve">D-001 — Decouple website and agents via Postgres (Approach 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 public site must be fast, but local multi-agent LLM runs take minutes.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Website and agents never call each other; they meet at Postgres. Daily</w:t>
      </w:r>
      <w:r>
        <w:t xml:space="preserve"> </w:t>
      </w:r>
      <w:r>
        <w:t xml:space="preserve">briefings are written ahead of time; questions are queued and polled.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Rejected:</w:t>
      </w:r>
      <w:r>
        <w:t xml:space="preserve"> </w:t>
      </w:r>
      <w:r>
        <w:t xml:space="preserve">Direct API calls (couples site to slow LLM); n8n-as-backend (fragile).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Snappy site, independent testability, and no inbound path to the agents.</w:t>
      </w:r>
    </w:p>
    <w:bookmarkEnd w:id="9"/>
    <w:bookmarkStart w:id="10" w:name="X4b9e1b68e5730574b2aa347c71f6f98f2febc94"/>
    <w:p>
      <w:pPr>
        <w:pStyle w:val="Heading3"/>
      </w:pPr>
      <w:r>
        <w:t xml:space="preserve">D-002 — Host everything on the RTX box; expose only the site via Cloudflare Tunnel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We want a public URL without exposing a home machine or the local LLM.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All services local; Cloudflare Tunnel exposes only Next.js. No open ports.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Rejected:</w:t>
      </w:r>
      <w:r>
        <w:t xml:space="preserve"> </w:t>
      </w:r>
      <w:r>
        <w:t xml:space="preserve">VPS split (costs money, unneeded now); port-forwarding (exposes home IP).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Site up only when the box is on — acceptable</w:t>
      </w:r>
      <w:r>
        <w:t xml:space="preserve"> </w:t>
      </w:r>
      <w:r>
        <w:t xml:space="preserve">“for now”</w:t>
      </w:r>
      <w:r>
        <w:t xml:space="preserve">; briefings cached.</w:t>
      </w:r>
    </w:p>
    <w:bookmarkEnd w:id="10"/>
    <w:bookmarkStart w:id="11" w:name="X598376e33b8851e60d714a16012b271615b3b35"/>
    <w:p>
      <w:pPr>
        <w:pStyle w:val="Heading3"/>
      </w:pPr>
      <w:r>
        <w:t xml:space="preserve">D-003 — Multi-source clustering + bias spread is the core feature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 plain news summarizer isn’t distinctive.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Cluster articles covering the same event, show the left/center/right</w:t>
      </w:r>
      <w:r>
        <w:t xml:space="preserve"> </w:t>
      </w:r>
      <w:r>
        <w:t xml:space="preserve">spread, then give a neutral economic synthesis (</w:t>
      </w:r>
      <w:r>
        <w:t xml:space="preserve">“Ground News × economics, local AI”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Consequence: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gets an essential role (clustering); a Bias &amp;</w:t>
      </w:r>
      <w:r>
        <w:t xml:space="preserve"> </w:t>
      </w:r>
      <w:r>
        <w:t xml:space="preserve">Framing Analyst agent is added.</w:t>
      </w:r>
    </w:p>
    <w:bookmarkEnd w:id="11"/>
    <w:bookmarkStart w:id="12" w:name="Xaafbe1499683c8a88a9a212b899ee23a277b041"/>
    <w:p>
      <w:pPr>
        <w:pStyle w:val="Heading3"/>
      </w:pPr>
      <w:r>
        <w:t xml:space="preserve">D-004 — Use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for embeddings, with an in-Python fallback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Clustering needs vector similarity search.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Store embeddings in Postgres via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; cluster with SQL distance.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Rejected (as primary):</w:t>
      </w:r>
      <w:r>
        <w:t xml:space="preserve"> </w:t>
      </w:r>
      <w:r>
        <w:t xml:space="preserve">In-memory clustering each run — kept as fallback if the</w:t>
      </w:r>
      <w:r>
        <w:t xml:space="preserve"> </w:t>
      </w:r>
      <w:r>
        <w:t xml:space="preserve">extension can’t be installed initially.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One datastore, queryable embeddings; revisit if scale grows.</w:t>
      </w:r>
    </w:p>
    <w:bookmarkEnd w:id="12"/>
    <w:bookmarkStart w:id="13" w:name="X5a781a035e5f5b41f78313ab538fb1ec719bb5e"/>
    <w:p>
      <w:pPr>
        <w:pStyle w:val="Heading3"/>
      </w:pPr>
      <w:r>
        <w:t xml:space="preserve">D-005 — Layered output (</w:t>
      </w:r>
      <w:r>
        <w:rPr>
          <w:rStyle w:val="VerbatimChar"/>
        </w:rPr>
        <w:t xml:space="preserve">beginner_md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pro_md</w:t>
      </w:r>
      <w:r>
        <w:t xml:space="preserve">) instead of two products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Serve both finance-blind beginners and professionals.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Every content item stores two layers; UI shows beginner by default with a</w:t>
      </w:r>
      <w:r>
        <w:t xml:space="preserve"> </w:t>
      </w:r>
      <w:r>
        <w:t xml:space="preserve">“Go deeper →”</w:t>
      </w:r>
      <w:r>
        <w:t xml:space="preserve"> </w:t>
      </w:r>
      <w:r>
        <w:t xml:space="preserve">toggle.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One pipeline, one UI, two audiences. The Editor agent owns both layers.</w:t>
      </w:r>
    </w:p>
    <w:bookmarkEnd w:id="13"/>
    <w:bookmarkStart w:id="14" w:name="Xfb386f1c6531512b5ce91f32d80f2e502100024"/>
    <w:p>
      <w:pPr>
        <w:pStyle w:val="Heading3"/>
      </w:pPr>
      <w:r>
        <w:t xml:space="preserve">D-006 —</w:t>
      </w:r>
      <w:r>
        <w:t xml:space="preserve"> </w:t>
      </w:r>
      <w:r>
        <w:rPr>
          <w:rStyle w:val="VerbatimChar"/>
        </w:rPr>
        <w:t xml:space="preserve">qwen2.5:14b</w:t>
      </w:r>
      <w:r>
        <w:t xml:space="preserve"> </w:t>
      </w:r>
      <w:r>
        <w:t xml:space="preserve">as the reasoning workhorse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Pick models that fit 16GB VRAM while keeping multi-agent runs responsive.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14b for reasoning agents, 7b for fast triage,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for</w:t>
      </w:r>
      <w:r>
        <w:t xml:space="preserve"> </w:t>
      </w:r>
      <w:r>
        <w:t xml:space="preserve">clustering.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Rejected:</w:t>
      </w:r>
      <w:r>
        <w:t xml:space="preserve"> </w:t>
      </w:r>
      <w:r>
        <w:t xml:space="preserve">32B quant (tighter VRAM, slower per agent).</w:t>
      </w:r>
    </w:p>
    <w:bookmarkEnd w:id="14"/>
    <w:bookmarkStart w:id="15" w:name="Xff245d73d70c4a1b636c94a7563166aa54c82c9"/>
    <w:p>
      <w:pPr>
        <w:pStyle w:val="Heading3"/>
      </w:pPr>
      <w:r>
        <w:t xml:space="preserve">D-007 — Label all bias/neutrality as</w:t>
      </w:r>
      <w:r>
        <w:t xml:space="preserve"> </w:t>
      </w:r>
      <w:r>
        <w:t xml:space="preserve">“AI assessment,”</w:t>
      </w:r>
      <w:r>
        <w:t xml:space="preserve"> </w:t>
      </w:r>
      <w:r>
        <w:t xml:space="preserve">not fact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Bias detection is subjective; asserting it as truth invites credible attack</w:t>
      </w:r>
      <w:r>
        <w:t xml:space="preserve"> </w:t>
      </w:r>
      <w:r>
        <w:t xml:space="preserve">and is dishonest.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Always label lean ratings and the neutral synthesis as the model’s</w:t>
      </w:r>
      <w:r>
        <w:t xml:space="preserve"> </w:t>
      </w:r>
      <w:r>
        <w:t xml:space="preserve">assessment; always show and link sources; add a</w:t>
      </w:r>
      <w:r>
        <w:t xml:space="preserve"> </w:t>
      </w:r>
      <w:r>
        <w:t xml:space="preserve">“not financial advice”</w:t>
      </w:r>
      <w:r>
        <w:t xml:space="preserve"> </w:t>
      </w:r>
      <w:r>
        <w:t xml:space="preserve">disclaimer.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Defensible credibility; this is treated as a security concern (05 §9).</w:t>
      </w:r>
    </w:p>
    <w:bookmarkEnd w:id="15"/>
    <w:bookmarkStart w:id="16" w:name="X29958a5644b9642ed6d26034a8d0dc8cc63f55a"/>
    <w:p>
      <w:pPr>
        <w:pStyle w:val="Heading3"/>
      </w:pPr>
      <w:r>
        <w:t xml:space="preserve">D-008 — Agents have no action tools (prompt-injection containment)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Scraped article text and user questions are untrusted and may contain</w:t>
      </w:r>
      <w:r>
        <w:t xml:space="preserve"> </w:t>
      </w:r>
      <w:r>
        <w:t xml:space="preserve">injection attempts.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Agents get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shell/file/arbitrary-HTTP tools; fetching is a fixed</w:t>
      </w:r>
      <w:r>
        <w:t xml:space="preserve"> </w:t>
      </w:r>
      <w:r>
        <w:t xml:space="preserve">allow-listed function. Article text is inserted as delimited</w:t>
      </w:r>
      <w:r>
        <w:t xml:space="preserve"> </w:t>
      </w:r>
      <w:r>
        <w:rPr>
          <w:i/>
          <w:iCs/>
        </w:rPr>
        <w:t xml:space="preserve">data</w:t>
      </w:r>
      <w:r>
        <w:t xml:space="preserve">, never instructions.</w:t>
      </w:r>
      <w:r>
        <w:t xml:space="preserve"> </w:t>
      </w:r>
      <w:r>
        <w:t xml:space="preserve">Output is schema-validated.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A successful injection can at most alter text (which is then</w:t>
      </w:r>
      <w:r>
        <w:t xml:space="preserve"> </w:t>
      </w:r>
      <w:r>
        <w:t xml:space="preserve">validated/rejected) — it cannot take actions or reach internal systems.</w:t>
      </w:r>
    </w:p>
    <w:bookmarkEnd w:id="16"/>
    <w:bookmarkStart w:id="17" w:name="Xbe6d79b3edc70affd14eb6137385468077b110c"/>
    <w:p>
      <w:pPr>
        <w:pStyle w:val="Heading3"/>
      </w:pPr>
      <w:r>
        <w:t xml:space="preserve">D-009 — Store article</w:t>
      </w:r>
      <w:r>
        <w:t xml:space="preserve"> </w:t>
      </w:r>
      <w:r>
        <w:rPr>
          <w:i/>
          <w:iCs/>
        </w:rPr>
        <w:t xml:space="preserve">summaries</w:t>
      </w:r>
      <w:r>
        <w:t xml:space="preserve"> </w:t>
      </w:r>
      <w:r>
        <w:t xml:space="preserve">+ links, not full text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Copyright and DB bloat from storing full articles.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Persist a short summary + the source URL; always link out to the original.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Lower legal/storage risk; readers verify at the source.</w:t>
      </w:r>
    </w:p>
    <w:bookmarkEnd w:id="17"/>
    <w:bookmarkStart w:id="18" w:name="X8c7e84d099aa23894ab639430340ca7e190ffe5"/>
    <w:p>
      <w:pPr>
        <w:pStyle w:val="Heading3"/>
      </w:pPr>
      <w:r>
        <w:t xml:space="preserve">D-010 — Documentation is a per-change deliverable, with HTML/DOCX exports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Docs rot when treated as an afterthought.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Every component created/changed updates its doc in the same change;</w:t>
      </w:r>
      <w:r>
        <w:t xml:space="preserve"> </w:t>
      </w:r>
      <w:r>
        <w:t xml:space="preserve">HTML + DOCX exports are regenerated from the markdown via the</w:t>
      </w:r>
      <w:r>
        <w:t xml:space="preserve"> </w:t>
      </w:r>
      <w:r>
        <w:rPr>
          <w:rStyle w:val="VerbatimChar"/>
        </w:rPr>
        <w:t xml:space="preserve">docs/build-exports</w:t>
      </w:r>
      <w:r>
        <w:t xml:space="preserve"> </w:t>
      </w:r>
      <w:r>
        <w:t xml:space="preserve">routine.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Consequence: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alone is enough to understand and rebuild the system.</w:t>
      </w:r>
    </w:p>
    <w:bookmarkEnd w:id="18"/>
    <w:bookmarkStart w:id="19" w:name="X650a3de755ba4a4fa6ab89089e39708042035be"/>
    <w:p>
      <w:pPr>
        <w:pStyle w:val="Heading3"/>
      </w:pPr>
      <w:r>
        <w:t xml:space="preserve">D-011 — Schema source-of-truth is SQL migrations; Drizzle adopts via introspection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Both the Python engine (ingestion/clustering/crew) and the Next.js website</w:t>
      </w:r>
      <w:r>
        <w:t xml:space="preserve"> </w:t>
      </w:r>
      <w:r>
        <w:t xml:space="preserve">read/write the same Postgres. If Drizzle owns the schema, the Python pipeline can’t be</w:t>
      </w:r>
      <w:r>
        <w:t xml:space="preserve"> </w:t>
      </w:r>
      <w:r>
        <w:t xml:space="preserve">built or tested before the website exists — but the build order starts with the data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Author the schema as plain</w:t>
      </w:r>
      <w:r>
        <w:t xml:space="preserve"> </w:t>
      </w:r>
      <w:r>
        <w:rPr>
          <w:b/>
          <w:bCs/>
        </w:rPr>
        <w:t xml:space="preserve">SQL migrations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db/migrations/</w:t>
      </w:r>
      <w:r>
        <w:t xml:space="preserve">, applied</w:t>
      </w:r>
      <w:r>
        <w:t xml:space="preserve"> </w:t>
      </w:r>
      <w:r>
        <w:t xml:space="preserve">by a small Python runner. The website (Plan 3) generates its typed Drizzle schema from</w:t>
      </w:r>
      <w:r>
        <w:t xml:space="preserve"> </w:t>
      </w:r>
      <w:r>
        <w:t xml:space="preserve">the live DB with</w:t>
      </w:r>
      <w:r>
        <w:t xml:space="preserve"> </w:t>
      </w:r>
      <w:r>
        <w:rPr>
          <w:rStyle w:val="VerbatimChar"/>
        </w:rPr>
        <w:t xml:space="preserve">drizzle-kit pull</w:t>
      </w:r>
      <w:r>
        <w:t xml:space="preserve">. Postgres runs from the</w:t>
      </w:r>
      <w:r>
        <w:t xml:space="preserve"> </w:t>
      </w:r>
      <w:r>
        <w:rPr>
          <w:rStyle w:val="VerbatimChar"/>
        </w:rPr>
        <w:t xml:space="preserve">pgvector/pgvector</w:t>
      </w:r>
      <w:r>
        <w:t xml:space="preserve"> </w:t>
      </w:r>
      <w:r>
        <w:t xml:space="preserve">image so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type is available.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Rejected:</w:t>
      </w:r>
      <w:r>
        <w:t xml:space="preserve"> </w:t>
      </w:r>
      <w:r>
        <w:t xml:space="preserve">Drizzle-first (forces the frontend to exist before the data pipeline);</w:t>
      </w:r>
      <w:r>
        <w:t xml:space="preserve"> </w:t>
      </w:r>
      <w:r>
        <w:t xml:space="preserve">duplicating the schema in two ORMs (drift risk).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Consequence:</w:t>
      </w:r>
      <w:r>
        <w:t xml:space="preserve"> </w:t>
      </w:r>
      <w:r>
        <w:t xml:space="preserve">The data foundation is independent and testable on its own; one SQL</w:t>
      </w:r>
      <w:r>
        <w:t xml:space="preserve"> </w:t>
      </w:r>
      <w:r>
        <w:t xml:space="preserve">source of truth; Drizzle stays a typed query layer, not the schema owner.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Template for new entries:</w:t>
      </w:r>
    </w:p>
    <w:p>
      <w:pPr>
        <w:pStyle w:val="SourceCode"/>
      </w:pPr>
      <w:r>
        <w:rPr>
          <w:rStyle w:val="VerbatimChar"/>
        </w:rPr>
        <w:t xml:space="preserve">### D-0NN — &lt;title&gt;</w:t>
      </w:r>
      <w:r>
        <w:br/>
      </w:r>
      <w:r>
        <w:rPr>
          <w:rStyle w:val="VerbatimChar"/>
        </w:rPr>
        <w:t xml:space="preserve">- **Problem:** …</w:t>
      </w:r>
      <w:r>
        <w:br/>
      </w:r>
      <w:r>
        <w:rPr>
          <w:rStyle w:val="VerbatimChar"/>
        </w:rPr>
        <w:t xml:space="preserve">- **Decision:** …</w:t>
      </w:r>
      <w:r>
        <w:br/>
      </w:r>
      <w:r>
        <w:rPr>
          <w:rStyle w:val="VerbatimChar"/>
        </w:rPr>
        <w:t xml:space="preserve">- **Rejected:** …</w:t>
      </w:r>
      <w:r>
        <w:br/>
      </w:r>
      <w:r>
        <w:rPr>
          <w:rStyle w:val="VerbatimChar"/>
        </w:rPr>
        <w:t xml:space="preserve">- **Consequence:** …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06-DECISIONS</dc:title>
  <dc:creator/>
  <cp:keywords/>
  <dcterms:created xsi:type="dcterms:W3CDTF">2026-06-13T09:41:17Z</dcterms:created>
  <dcterms:modified xsi:type="dcterms:W3CDTF">2026-06-13T09:41:17Z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